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AA" w:rsidRDefault="00AC0AF9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 и проблемы использования китайской рабочей силы в развитии приграничных территорий российского Приморья</w:t>
      </w:r>
    </w:p>
    <w:p w:rsidR="00AC0AF9" w:rsidRDefault="00AC0AF9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AEB" w:rsidRDefault="00104AEB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Латкин Александр Павлович</w:t>
      </w:r>
    </w:p>
    <w:p w:rsidR="00104AEB" w:rsidRDefault="00104AEB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Владивостокский государственный университет экономики и сервиса</w:t>
      </w:r>
    </w:p>
    <w:p w:rsidR="00104AEB" w:rsidRDefault="00104AEB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Россия. Владивосток</w:t>
      </w:r>
    </w:p>
    <w:p w:rsidR="00104AEB" w:rsidRDefault="00104AEB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экономических наук, профессор, </w:t>
      </w:r>
    </w:p>
    <w:p w:rsidR="00104AEB" w:rsidRDefault="00104AEB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Института подготовки кадров высшей квалификации</w:t>
      </w:r>
    </w:p>
    <w:p w:rsidR="00104AEB" w:rsidRPr="00062633" w:rsidRDefault="00104AEB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0626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062633" w:rsidRPr="009423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Aleksandr.Latkinp@vvsu.ru</w:t>
        </w:r>
      </w:hyperlink>
      <w:r w:rsidR="00062633" w:rsidRPr="0006263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062633">
        <w:rPr>
          <w:rFonts w:ascii="Times New Roman" w:hAnsi="Times New Roman" w:cs="Times New Roman"/>
          <w:sz w:val="28"/>
          <w:szCs w:val="28"/>
        </w:rPr>
        <w:t>тел</w:t>
      </w:r>
      <w:r w:rsidR="00062633" w:rsidRPr="00062633">
        <w:rPr>
          <w:rFonts w:ascii="Times New Roman" w:hAnsi="Times New Roman" w:cs="Times New Roman"/>
          <w:sz w:val="28"/>
          <w:szCs w:val="28"/>
          <w:lang w:val="en-US"/>
        </w:rPr>
        <w:t>. 8 (423) 271-17-81</w:t>
      </w:r>
    </w:p>
    <w:p w:rsidR="00062633" w:rsidRDefault="00062633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Гоголя, 41, г. Владивосток, Приморский край, Россия, 690014</w:t>
      </w:r>
    </w:p>
    <w:p w:rsidR="00062633" w:rsidRDefault="00062633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633" w:rsidRDefault="00062633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Светлана Валерьевна</w:t>
      </w:r>
    </w:p>
    <w:p w:rsidR="00062633" w:rsidRDefault="00AC0AF9" w:rsidP="00062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Владивостокского государственного</w:t>
      </w:r>
      <w:r w:rsidR="0006263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2633">
        <w:rPr>
          <w:rFonts w:ascii="Times New Roman" w:hAnsi="Times New Roman" w:cs="Times New Roman"/>
          <w:sz w:val="28"/>
          <w:szCs w:val="28"/>
        </w:rPr>
        <w:t xml:space="preserve"> экономики и сервиса</w:t>
      </w:r>
    </w:p>
    <w:p w:rsidR="00062633" w:rsidRDefault="00062633" w:rsidP="00062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Россия. </w:t>
      </w:r>
      <w:r w:rsidR="00AC0AF9">
        <w:rPr>
          <w:rFonts w:ascii="Times New Roman" w:hAnsi="Times New Roman" w:cs="Times New Roman"/>
          <w:sz w:val="28"/>
          <w:szCs w:val="28"/>
        </w:rPr>
        <w:t>Артем</w:t>
      </w:r>
    </w:p>
    <w:p w:rsidR="00062633" w:rsidRDefault="00062633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социологических наук, профессор кафедры экономики, управления и информационных технологий</w:t>
      </w:r>
    </w:p>
    <w:p w:rsidR="00062633" w:rsidRPr="00F90095" w:rsidRDefault="00062633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0626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9423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KUZ_s.v@bk.ru</w:t>
        </w:r>
      </w:hyperlink>
      <w:r w:rsidRPr="0006263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062633">
        <w:rPr>
          <w:rFonts w:ascii="Times New Roman" w:hAnsi="Times New Roman" w:cs="Times New Roman"/>
          <w:sz w:val="28"/>
          <w:szCs w:val="28"/>
          <w:lang w:val="en-US"/>
        </w:rPr>
        <w:t>. 8-914-707-80-56</w:t>
      </w:r>
    </w:p>
    <w:p w:rsidR="00F90095" w:rsidRDefault="00F90095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095" w:rsidRPr="00F90095" w:rsidRDefault="00F90095" w:rsidP="00F900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095">
        <w:rPr>
          <w:rFonts w:ascii="Times New Roman" w:hAnsi="Times New Roman" w:cs="Times New Roman"/>
          <w:sz w:val="28"/>
          <w:szCs w:val="28"/>
        </w:rPr>
        <w:t>Власенко Альбина Алексеевна</w:t>
      </w:r>
    </w:p>
    <w:p w:rsidR="00F90095" w:rsidRPr="00F90095" w:rsidRDefault="00F90095" w:rsidP="00F900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095">
        <w:rPr>
          <w:rFonts w:ascii="Times New Roman" w:hAnsi="Times New Roman" w:cs="Times New Roman"/>
          <w:sz w:val="28"/>
          <w:szCs w:val="28"/>
        </w:rPr>
        <w:t>Филиал Владивостокского государственного университета экономики и сервиса. Россия. Артём (692760, РФ, Приморский край,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95">
        <w:rPr>
          <w:rFonts w:ascii="Times New Roman" w:hAnsi="Times New Roman" w:cs="Times New Roman"/>
          <w:sz w:val="28"/>
          <w:szCs w:val="28"/>
        </w:rPr>
        <w:t>Артём, ул.Кооперативная,6)</w:t>
      </w:r>
    </w:p>
    <w:p w:rsidR="00F90095" w:rsidRPr="00F90095" w:rsidRDefault="00F90095" w:rsidP="00F900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095">
        <w:rPr>
          <w:rFonts w:ascii="Times New Roman" w:hAnsi="Times New Roman" w:cs="Times New Roman"/>
          <w:sz w:val="28"/>
          <w:szCs w:val="28"/>
        </w:rPr>
        <w:t>Кандидат экономических наук, профессор, 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0095">
        <w:rPr>
          <w:rFonts w:ascii="Times New Roman" w:hAnsi="Times New Roman" w:cs="Times New Roman"/>
          <w:sz w:val="28"/>
          <w:szCs w:val="28"/>
        </w:rPr>
        <w:t>кафедрой экономики, управления и информационных технологий</w:t>
      </w:r>
    </w:p>
    <w:p w:rsidR="00F90095" w:rsidRPr="00F90095" w:rsidRDefault="00F90095" w:rsidP="00F900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0095">
        <w:rPr>
          <w:rFonts w:ascii="Times New Roman" w:hAnsi="Times New Roman" w:cs="Times New Roman"/>
          <w:sz w:val="28"/>
          <w:szCs w:val="28"/>
          <w:lang w:val="en-US"/>
        </w:rPr>
        <w:t>E-mail: director@artem.vvsu.ru; тел.7914 799 48 41</w:t>
      </w:r>
    </w:p>
    <w:p w:rsidR="00104AEB" w:rsidRPr="00F90095" w:rsidRDefault="00104AEB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2633" w:rsidRPr="00062633" w:rsidRDefault="00062633" w:rsidP="000626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условиях сокращения экономически активного населения в российском Приморье, как и в других регионах Дальнего Востока возросла доля участия в трудовой деятельности международных мигрантов. До недавнего времени основной миграционный поток формировался сюда из приграничных </w:t>
      </w:r>
      <w:r w:rsidR="00F20301">
        <w:rPr>
          <w:rFonts w:ascii="Times New Roman" w:hAnsi="Times New Roman" w:cs="Times New Roman"/>
          <w:i/>
          <w:sz w:val="28"/>
          <w:szCs w:val="28"/>
        </w:rPr>
        <w:t>районов КНР. Однако, использование новых административных требований к оформлению въезда трудовых мигрантов в Россию, а также ослабление курса рубля по отношению к юаню оказывает негативное влияние на эффективность использования китайской рабочей силы, что особенно проявляется в сельскохозяйственном производстве. Исследованию этих процессов посвящена научная статья.</w:t>
      </w:r>
    </w:p>
    <w:p w:rsidR="00104AEB" w:rsidRDefault="00104AEB" w:rsidP="003B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301" w:rsidRPr="00F20301" w:rsidRDefault="00F20301" w:rsidP="00F203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Ключевые слова и словосочетания</w:t>
      </w:r>
      <w:r>
        <w:rPr>
          <w:rFonts w:ascii="Times New Roman" w:hAnsi="Times New Roman" w:cs="Times New Roman"/>
          <w:i/>
          <w:sz w:val="28"/>
          <w:szCs w:val="28"/>
        </w:rPr>
        <w:t>: российское Приморье, трудовые мигранты из КНР, новые подходы к регулированию миграционных потоков.</w:t>
      </w:r>
    </w:p>
    <w:p w:rsidR="00C4571D" w:rsidRDefault="00C4571D" w:rsidP="003B11AA">
      <w:pPr>
        <w:pStyle w:val="20"/>
        <w:shd w:val="clear" w:color="auto" w:fill="auto"/>
        <w:tabs>
          <w:tab w:val="left" w:pos="8931"/>
        </w:tabs>
        <w:spacing w:line="276" w:lineRule="auto"/>
        <w:ind w:firstLine="709"/>
        <w:contextualSpacing/>
        <w:mirrorIndents/>
        <w:rPr>
          <w:color w:val="000000"/>
          <w:lang w:bidi="ru-RU"/>
        </w:rPr>
      </w:pPr>
    </w:p>
    <w:p w:rsidR="00C4571D" w:rsidRDefault="00C4571D" w:rsidP="003B11AA">
      <w:pPr>
        <w:pStyle w:val="20"/>
        <w:shd w:val="clear" w:color="auto" w:fill="auto"/>
        <w:tabs>
          <w:tab w:val="left" w:pos="8931"/>
        </w:tabs>
        <w:spacing w:line="276" w:lineRule="auto"/>
        <w:ind w:firstLine="709"/>
        <w:contextualSpacing/>
        <w:mirrorIndents/>
        <w:rPr>
          <w:color w:val="000000"/>
          <w:lang w:bidi="ru-RU"/>
        </w:rPr>
      </w:pPr>
      <w:r>
        <w:rPr>
          <w:color w:val="000000"/>
          <w:lang w:bidi="ru-RU"/>
        </w:rPr>
        <w:t xml:space="preserve">С момента принятия Указа Президента РФ «О либерализации внешнеэкономической деятельности» и открытия г. Владивостока заметную роль в обеспечении сбалансированности рынка труда российского Приморья </w:t>
      </w:r>
      <w:r>
        <w:rPr>
          <w:color w:val="000000"/>
          <w:lang w:bidi="ru-RU"/>
        </w:rPr>
        <w:lastRenderedPageBreak/>
        <w:t>играет китайская рабочая сила. В течение прошедшего периода разными были приоритеты и масштабы этого процесса. Справедливости ради следует отметить позитивный эффект участия трудовых мигрантов из КНР в открытии новых сельскохозяйственных, строительно-ремонтных и лесоперерабатывающих производств, товарных рынков китайской плодоовощной и промышленной продукции, в развитии ресторанного, в том числе и туристического бизнеса, с созданием большого количества рабочих мест для местного населения. В Приморском крае этому во многом способствовали как благоприятные природно-климатические условия при значительном потенциале земельных и лесных ресурсов, так и обустроенные в относительно короткое время 5 таможенных автомобильных и железнодорожных переходов на российско-китайской границе. Через них к 2000 году на российскую территорию въезжало ежегодно до 950 тыс. китайских граждан, включая туристов, то есть, почти 50% от численности проживающего в Приморском крае населения, что создавало определенные проблемы в обеспечении правопорядка в приморских городах и поселках, сохранности уникального растительного и животного мира, объектов социальной, транспортной и производственной инфраструктуры.</w:t>
      </w:r>
    </w:p>
    <w:p w:rsidR="00E44A23" w:rsidRPr="000B4F6D" w:rsidRDefault="00C4571D" w:rsidP="003B11AA">
      <w:pPr>
        <w:pStyle w:val="20"/>
        <w:shd w:val="clear" w:color="auto" w:fill="auto"/>
        <w:tabs>
          <w:tab w:val="left" w:pos="8931"/>
        </w:tabs>
        <w:spacing w:line="276" w:lineRule="auto"/>
        <w:ind w:firstLine="709"/>
        <w:contextualSpacing/>
        <w:mirrorIndents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E44A23" w:rsidRPr="000B4F6D">
        <w:rPr>
          <w:color w:val="000000"/>
          <w:lang w:bidi="ru-RU"/>
        </w:rPr>
        <w:t>При этом преобладающими являлись потоки китайских мигрантов с целью устройства на работу или организации своего бизнеса (до 75%) при обустройстве практически во всех приморских городах и поселках китайских товарных рынков.</w:t>
      </w:r>
    </w:p>
    <w:p w:rsidR="000D1E91" w:rsidRDefault="000D1E91" w:rsidP="003B11AA">
      <w:pPr>
        <w:pStyle w:val="20"/>
        <w:shd w:val="clear" w:color="auto" w:fill="auto"/>
        <w:tabs>
          <w:tab w:val="left" w:pos="8931"/>
        </w:tabs>
        <w:spacing w:line="276" w:lineRule="auto"/>
        <w:ind w:firstLine="709"/>
        <w:contextualSpacing/>
        <w:mirrorIndents/>
        <w:rPr>
          <w:color w:val="000000"/>
          <w:lang w:bidi="ru-RU"/>
        </w:rPr>
      </w:pPr>
      <w:r w:rsidRPr="000B4F6D">
        <w:rPr>
          <w:color w:val="000000"/>
          <w:lang w:bidi="ru-RU"/>
        </w:rPr>
        <w:t>Следует признать, что в этот период в условиях значительного сокращения объемов регионального производства продуктов и товаров народного потребления при снижении уровня жизни местного населения «китайское участие» в сбалансированности товарного рынка и рынка труда Приморск</w:t>
      </w:r>
      <w:r w:rsidR="009B2879" w:rsidRPr="000B4F6D">
        <w:rPr>
          <w:color w:val="000000"/>
          <w:lang w:bidi="ru-RU"/>
        </w:rPr>
        <w:t xml:space="preserve">ого края, да и всего </w:t>
      </w:r>
      <w:r w:rsidR="005348F2" w:rsidRPr="000B4F6D">
        <w:rPr>
          <w:color w:val="000000"/>
          <w:lang w:bidi="ru-RU"/>
        </w:rPr>
        <w:t>Д</w:t>
      </w:r>
      <w:r w:rsidR="009B2879" w:rsidRPr="000B4F6D">
        <w:rPr>
          <w:color w:val="000000"/>
          <w:lang w:bidi="ru-RU"/>
        </w:rPr>
        <w:t>альнего Востока, имело преимущественно позитивный социально-экономический эффект.</w:t>
      </w:r>
      <w:r w:rsidR="00921A0F" w:rsidRPr="000B4F6D">
        <w:rPr>
          <w:color w:val="000000"/>
          <w:lang w:bidi="ru-RU"/>
        </w:rPr>
        <w:t xml:space="preserve"> Кстати, через таможенные переходы Приморского края тогда были сформированы устойчивые товарные потоки из КНР в западные регионы России, включая Москву, обеспечивающие по сей день трудовую занятость и доходы многих российских граждан.</w:t>
      </w:r>
    </w:p>
    <w:p w:rsidR="004D5140" w:rsidRPr="000B4F6D" w:rsidRDefault="004D5140" w:rsidP="003B11AA">
      <w:pPr>
        <w:pStyle w:val="20"/>
        <w:shd w:val="clear" w:color="auto" w:fill="auto"/>
        <w:tabs>
          <w:tab w:val="left" w:pos="8931"/>
        </w:tabs>
        <w:spacing w:line="276" w:lineRule="auto"/>
        <w:ind w:firstLine="709"/>
        <w:contextualSpacing/>
        <w:mirrorIndents/>
        <w:rPr>
          <w:color w:val="000000"/>
          <w:lang w:bidi="ru-RU"/>
        </w:rPr>
      </w:pPr>
      <w:r>
        <w:rPr>
          <w:color w:val="000000"/>
          <w:lang w:bidi="ru-RU"/>
        </w:rPr>
        <w:t>Однако полное доминирование китайского присутствия в российском Приморье, начиная с 2002 г., фактически прекратилось, когда сюда для поиска работы и заработной платы устремились потоки трудовых мигрантов из Средней Азии, прежде всего из Узбекистана, а также из соседней КНДР.</w:t>
      </w:r>
    </w:p>
    <w:p w:rsidR="00C053FD" w:rsidRDefault="00212F60" w:rsidP="004D5140">
      <w:pPr>
        <w:pStyle w:val="20"/>
        <w:shd w:val="clear" w:color="auto" w:fill="auto"/>
        <w:tabs>
          <w:tab w:val="left" w:pos="8931"/>
        </w:tabs>
        <w:spacing w:line="276" w:lineRule="auto"/>
        <w:ind w:firstLine="709"/>
        <w:contextualSpacing/>
        <w:mirrorIndents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Причем </w:t>
      </w:r>
      <w:r w:rsidR="006759A7" w:rsidRPr="000B4F6D">
        <w:rPr>
          <w:color w:val="000000"/>
          <w:lang w:bidi="ru-RU"/>
        </w:rPr>
        <w:t>проведенные авторами исследования показываю</w:t>
      </w:r>
      <w:r w:rsidR="005348F2" w:rsidRPr="000B4F6D">
        <w:rPr>
          <w:color w:val="000000"/>
          <w:lang w:bidi="ru-RU"/>
        </w:rPr>
        <w:t>т</w:t>
      </w:r>
      <w:r w:rsidR="006759A7" w:rsidRPr="000B4F6D">
        <w:rPr>
          <w:color w:val="000000"/>
          <w:lang w:bidi="ru-RU"/>
        </w:rPr>
        <w:t xml:space="preserve"> на радикальное </w:t>
      </w:r>
      <w:r>
        <w:rPr>
          <w:color w:val="000000"/>
          <w:lang w:bidi="ru-RU"/>
        </w:rPr>
        <w:t>усиление</w:t>
      </w:r>
      <w:r w:rsidR="006759A7" w:rsidRPr="000B4F6D">
        <w:rPr>
          <w:color w:val="000000"/>
          <w:lang w:bidi="ru-RU"/>
        </w:rPr>
        <w:t xml:space="preserve"> этих тенденций в последние годы</w:t>
      </w:r>
      <w:r w:rsidR="00180BB7" w:rsidRPr="000B4F6D">
        <w:rPr>
          <w:color w:val="000000"/>
          <w:lang w:bidi="ru-RU"/>
        </w:rPr>
        <w:t>,</w:t>
      </w:r>
      <w:r w:rsidR="006759A7" w:rsidRPr="000B4F6D">
        <w:rPr>
          <w:color w:val="000000"/>
          <w:lang w:bidi="ru-RU"/>
        </w:rPr>
        <w:t xml:space="preserve"> которые происходят на фоне </w:t>
      </w:r>
      <w:r>
        <w:rPr>
          <w:color w:val="000000"/>
          <w:lang w:bidi="ru-RU"/>
        </w:rPr>
        <w:t>объявленного на правительственном уровне расширения</w:t>
      </w:r>
      <w:r w:rsidR="006759A7" w:rsidRPr="000B4F6D">
        <w:rPr>
          <w:color w:val="000000"/>
          <w:lang w:bidi="ru-RU"/>
        </w:rPr>
        <w:t xml:space="preserve"> межгосударственного экономического сотрудничества между Россией</w:t>
      </w:r>
      <w:r w:rsidR="005F68E5" w:rsidRPr="000B4F6D">
        <w:rPr>
          <w:color w:val="000000"/>
          <w:lang w:bidi="ru-RU"/>
        </w:rPr>
        <w:t xml:space="preserve"> </w:t>
      </w:r>
      <w:r w:rsidR="004D5140">
        <w:rPr>
          <w:color w:val="000000"/>
          <w:lang w:bidi="ru-RU"/>
        </w:rPr>
        <w:t>и Китаем.</w:t>
      </w:r>
    </w:p>
    <w:p w:rsidR="00C053FD" w:rsidRDefault="00C053FD" w:rsidP="003B11AA">
      <w:pPr>
        <w:pStyle w:val="20"/>
        <w:shd w:val="clear" w:color="auto" w:fill="auto"/>
        <w:tabs>
          <w:tab w:val="left" w:pos="8931"/>
        </w:tabs>
        <w:spacing w:line="276" w:lineRule="auto"/>
        <w:ind w:firstLine="709"/>
        <w:contextualSpacing/>
        <w:mirrorIndents/>
        <w:rPr>
          <w:color w:val="000000"/>
          <w:lang w:bidi="ru-RU"/>
        </w:rPr>
      </w:pPr>
    </w:p>
    <w:p w:rsidR="00C053FD" w:rsidRDefault="00C053FD" w:rsidP="004D5140">
      <w:pPr>
        <w:pStyle w:val="20"/>
        <w:shd w:val="clear" w:color="auto" w:fill="auto"/>
        <w:tabs>
          <w:tab w:val="left" w:pos="8931"/>
        </w:tabs>
        <w:spacing w:line="276" w:lineRule="auto"/>
        <w:contextualSpacing/>
        <w:mirrorIndents/>
        <w:rPr>
          <w:color w:val="000000"/>
          <w:lang w:bidi="ru-RU"/>
        </w:rPr>
      </w:pPr>
    </w:p>
    <w:p w:rsidR="004A70E2" w:rsidRPr="000B4F6D" w:rsidRDefault="004A70E2" w:rsidP="004D5140">
      <w:pPr>
        <w:pStyle w:val="20"/>
        <w:shd w:val="clear" w:color="auto" w:fill="auto"/>
        <w:tabs>
          <w:tab w:val="left" w:pos="8931"/>
        </w:tabs>
        <w:spacing w:line="276" w:lineRule="auto"/>
        <w:contextualSpacing/>
        <w:mirrorIndents/>
        <w:rPr>
          <w:color w:val="000000"/>
          <w:lang w:bidi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816"/>
        <w:gridCol w:w="816"/>
        <w:gridCol w:w="919"/>
        <w:gridCol w:w="816"/>
        <w:gridCol w:w="885"/>
      </w:tblGrid>
      <w:tr w:rsidR="00CD3155" w:rsidRPr="000B4F6D" w:rsidTr="00CD3155">
        <w:trPr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AA" w:rsidRPr="003B11AA" w:rsidRDefault="00CD3155" w:rsidP="003B11AA">
            <w:pPr>
              <w:tabs>
                <w:tab w:val="left" w:pos="8931"/>
              </w:tabs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B11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Таблица 1</w:t>
            </w:r>
          </w:p>
          <w:p w:rsidR="00CD3155" w:rsidRPr="000B4F6D" w:rsidRDefault="00CD3155" w:rsidP="003B11AA">
            <w:pPr>
              <w:tabs>
                <w:tab w:val="left" w:pos="8931"/>
              </w:tabs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4F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Динамика выделяемых и реально используемых квот на привлечение иностранной рабочей силы (чел.)</w:t>
            </w:r>
          </w:p>
        </w:tc>
      </w:tr>
      <w:tr w:rsidR="00CD3155" w:rsidRPr="000B4F6D" w:rsidTr="002D471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155" w:rsidRPr="000B4F6D" w:rsidRDefault="00CD3155" w:rsidP="003B11AA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155" w:rsidRPr="000B4F6D" w:rsidRDefault="00CD3155" w:rsidP="003B11AA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55" w:rsidRPr="000B4F6D" w:rsidRDefault="00CD3155" w:rsidP="003B11AA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55" w:rsidRPr="000B4F6D" w:rsidRDefault="00CD3155" w:rsidP="003B11AA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55" w:rsidRPr="000B4F6D" w:rsidRDefault="00CD3155" w:rsidP="003B11AA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55" w:rsidRPr="000B4F6D" w:rsidRDefault="00CD3155" w:rsidP="003B11AA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55" w:rsidRPr="000B4F6D" w:rsidRDefault="00CD3155" w:rsidP="003B11AA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55" w:rsidRPr="000B4F6D" w:rsidRDefault="00CD3155" w:rsidP="003B11AA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155" w:rsidRPr="00046AB8" w:rsidTr="002D471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55" w:rsidRPr="00046AB8" w:rsidRDefault="00046AB8" w:rsidP="00C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Страны</w:t>
            </w:r>
            <w:r w:rsidR="00CD3155"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55" w:rsidRPr="00046AB8" w:rsidRDefault="00CD3155" w:rsidP="00C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55" w:rsidRPr="00046AB8" w:rsidRDefault="00CD3155" w:rsidP="00C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55" w:rsidRPr="00046AB8" w:rsidRDefault="00CD3155" w:rsidP="00C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55" w:rsidRPr="00046AB8" w:rsidRDefault="00CD3155" w:rsidP="00C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55" w:rsidRPr="00046AB8" w:rsidRDefault="00CD3155" w:rsidP="00C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55" w:rsidRPr="00046AB8" w:rsidRDefault="00CD3155" w:rsidP="00C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55" w:rsidRPr="00046AB8" w:rsidRDefault="00CD3155" w:rsidP="00C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2016/</w:t>
            </w:r>
          </w:p>
          <w:p w:rsidR="00CD3155" w:rsidRPr="00046AB8" w:rsidRDefault="00CD3155" w:rsidP="00C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CD3155" w:rsidRPr="00046AB8" w:rsidTr="002D4717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55" w:rsidRPr="00046AB8" w:rsidRDefault="00CD3155" w:rsidP="00CD3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КНР, всего после корректировки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D3155" w:rsidRPr="00046AB8" w:rsidTr="00CD315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55" w:rsidRPr="00046AB8" w:rsidRDefault="00CD3155" w:rsidP="00CD3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реально выдано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</w:tr>
      <w:tr w:rsidR="00CD3155" w:rsidRPr="00046AB8" w:rsidTr="00CD315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55" w:rsidRPr="00046AB8" w:rsidRDefault="00CD3155" w:rsidP="00CD3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КНДР, всего после корректировки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CD3155" w:rsidRPr="00046AB8" w:rsidTr="002D4717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55" w:rsidRPr="00046AB8" w:rsidRDefault="00CD3155" w:rsidP="00CD3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04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реально выдано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55" w:rsidRPr="00046AB8" w:rsidRDefault="00CD3155" w:rsidP="00CD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</w:tr>
      <w:tr w:rsidR="002D4717" w:rsidRPr="00046AB8" w:rsidTr="002D4717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после корректировки</w:t>
            </w:r>
          </w:p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реально выдано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40052</w:t>
            </w:r>
          </w:p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29992</w:t>
            </w:r>
          </w:p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26396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27142</w:t>
            </w:r>
          </w:p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27007</w:t>
            </w:r>
          </w:p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21401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23656</w:t>
            </w:r>
          </w:p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18530</w:t>
            </w:r>
          </w:p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61,8</w:t>
            </w:r>
          </w:p>
          <w:p w:rsidR="002D4717" w:rsidRPr="002D4717" w:rsidRDefault="002D4717" w:rsidP="002D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60,8</w:t>
            </w:r>
          </w:p>
        </w:tc>
      </w:tr>
    </w:tbl>
    <w:p w:rsidR="00CD3155" w:rsidRDefault="00046AB8" w:rsidP="00230427">
      <w:pPr>
        <w:pStyle w:val="20"/>
        <w:shd w:val="clear" w:color="auto" w:fill="auto"/>
        <w:spacing w:line="276" w:lineRule="auto"/>
        <w:ind w:firstLine="709"/>
        <w:contextualSpacing/>
        <w:mirrorIndents/>
        <w:rPr>
          <w:color w:val="000000"/>
          <w:lang w:bidi="ru-RU"/>
        </w:rPr>
      </w:pPr>
      <w:r>
        <w:rPr>
          <w:color w:val="000000"/>
          <w:lang w:bidi="ru-RU"/>
        </w:rPr>
        <w:t>Источник: Данные УФМС России по Приморскому краю</w:t>
      </w:r>
    </w:p>
    <w:p w:rsidR="00CC2978" w:rsidRPr="000B4F6D" w:rsidRDefault="00CC2978" w:rsidP="00230427">
      <w:pPr>
        <w:pStyle w:val="20"/>
        <w:shd w:val="clear" w:color="auto" w:fill="auto"/>
        <w:spacing w:line="276" w:lineRule="auto"/>
        <w:ind w:firstLine="709"/>
        <w:contextualSpacing/>
        <w:mirrorIndents/>
        <w:rPr>
          <w:color w:val="000000"/>
          <w:lang w:bidi="ru-RU"/>
        </w:rPr>
      </w:pPr>
    </w:p>
    <w:p w:rsidR="00A700AC" w:rsidRPr="000B4F6D" w:rsidRDefault="006E4B14" w:rsidP="007027C2">
      <w:pPr>
        <w:pStyle w:val="20"/>
        <w:shd w:val="clear" w:color="auto" w:fill="auto"/>
        <w:spacing w:line="276" w:lineRule="auto"/>
        <w:ind w:firstLine="709"/>
        <w:contextualSpacing/>
        <w:mirrorIndents/>
        <w:rPr>
          <w:color w:val="000000"/>
          <w:lang w:bidi="ru-RU"/>
        </w:rPr>
      </w:pPr>
      <w:r w:rsidRPr="000B4F6D">
        <w:rPr>
          <w:color w:val="000000"/>
          <w:lang w:bidi="ru-RU"/>
        </w:rPr>
        <w:t>Как видно из таблицы 1 количество выделяемых квот на привлечение</w:t>
      </w:r>
      <w:r w:rsidR="000B77E5" w:rsidRPr="000B4F6D">
        <w:rPr>
          <w:color w:val="000000"/>
          <w:lang w:bidi="ru-RU"/>
        </w:rPr>
        <w:t xml:space="preserve"> граждан КНР</w:t>
      </w:r>
      <w:r w:rsidR="00E00C73" w:rsidRPr="000B4F6D">
        <w:rPr>
          <w:color w:val="000000"/>
          <w:lang w:bidi="ru-RU"/>
        </w:rPr>
        <w:t xml:space="preserve"> в различные отрасли хозяйства</w:t>
      </w:r>
      <w:r w:rsidR="005F68E5" w:rsidRPr="000B4F6D">
        <w:rPr>
          <w:color w:val="000000"/>
          <w:lang w:bidi="ru-RU"/>
        </w:rPr>
        <w:t xml:space="preserve"> Приморского края</w:t>
      </w:r>
      <w:r w:rsidR="00E00C73" w:rsidRPr="000B4F6D">
        <w:rPr>
          <w:color w:val="000000"/>
          <w:lang w:bidi="ru-RU"/>
        </w:rPr>
        <w:t xml:space="preserve">, сократилось </w:t>
      </w:r>
      <w:r w:rsidR="005F68E5" w:rsidRPr="000B4F6D">
        <w:rPr>
          <w:color w:val="000000"/>
          <w:lang w:bidi="ru-RU"/>
        </w:rPr>
        <w:t>с</w:t>
      </w:r>
      <w:r w:rsidR="00E00C73" w:rsidRPr="000B4F6D">
        <w:rPr>
          <w:color w:val="000000"/>
          <w:lang w:bidi="ru-RU"/>
        </w:rPr>
        <w:t xml:space="preserve"> </w:t>
      </w:r>
      <w:r w:rsidRPr="000B4F6D">
        <w:rPr>
          <w:color w:val="000000"/>
          <w:lang w:bidi="ru-RU"/>
        </w:rPr>
        <w:t xml:space="preserve">19,3 </w:t>
      </w:r>
      <w:r w:rsidR="00E00C73" w:rsidRPr="000B4F6D">
        <w:rPr>
          <w:color w:val="000000"/>
          <w:lang w:bidi="ru-RU"/>
        </w:rPr>
        <w:t>тыс. чел. в 201</w:t>
      </w:r>
      <w:r w:rsidRPr="000B4F6D">
        <w:rPr>
          <w:color w:val="000000"/>
          <w:lang w:bidi="ru-RU"/>
        </w:rPr>
        <w:t>2</w:t>
      </w:r>
      <w:r w:rsidR="00E00C73" w:rsidRPr="000B4F6D">
        <w:rPr>
          <w:color w:val="000000"/>
          <w:lang w:bidi="ru-RU"/>
        </w:rPr>
        <w:t xml:space="preserve"> году до 10,</w:t>
      </w:r>
      <w:r w:rsidRPr="000B4F6D">
        <w:rPr>
          <w:color w:val="000000"/>
          <w:lang w:bidi="ru-RU"/>
        </w:rPr>
        <w:t>2</w:t>
      </w:r>
      <w:r w:rsidR="00E00C73" w:rsidRPr="000B4F6D">
        <w:rPr>
          <w:color w:val="000000"/>
          <w:lang w:bidi="ru-RU"/>
        </w:rPr>
        <w:t xml:space="preserve"> тыс. чел в 201</w:t>
      </w:r>
      <w:r w:rsidR="00CE1212" w:rsidRPr="000B4F6D">
        <w:rPr>
          <w:color w:val="000000"/>
          <w:lang w:bidi="ru-RU"/>
        </w:rPr>
        <w:t>6</w:t>
      </w:r>
      <w:r w:rsidR="00E00C73" w:rsidRPr="000B4F6D">
        <w:rPr>
          <w:color w:val="000000"/>
          <w:lang w:bidi="ru-RU"/>
        </w:rPr>
        <w:t xml:space="preserve"> г</w:t>
      </w:r>
      <w:r w:rsidR="005F68E5" w:rsidRPr="000B4F6D">
        <w:rPr>
          <w:color w:val="000000"/>
          <w:lang w:bidi="ru-RU"/>
        </w:rPr>
        <w:t xml:space="preserve">оду, то есть </w:t>
      </w:r>
      <w:r w:rsidRPr="000B4F6D">
        <w:rPr>
          <w:color w:val="000000"/>
          <w:lang w:bidi="ru-RU"/>
        </w:rPr>
        <w:t>почти</w:t>
      </w:r>
      <w:r w:rsidR="005F68E5" w:rsidRPr="000B4F6D">
        <w:rPr>
          <w:color w:val="000000"/>
          <w:lang w:bidi="ru-RU"/>
        </w:rPr>
        <w:t xml:space="preserve"> в 2 раза</w:t>
      </w:r>
      <w:r w:rsidR="00E00C73" w:rsidRPr="000B4F6D">
        <w:rPr>
          <w:color w:val="000000"/>
          <w:lang w:bidi="ru-RU"/>
        </w:rPr>
        <w:t xml:space="preserve">. Доля китайских трудовых мигрантов в общем количестве привлекаемых на работу иностранных граждан </w:t>
      </w:r>
      <w:r w:rsidR="006A0EA3" w:rsidRPr="000B4F6D">
        <w:rPr>
          <w:color w:val="000000"/>
          <w:lang w:bidi="ru-RU"/>
        </w:rPr>
        <w:t xml:space="preserve">здесь </w:t>
      </w:r>
      <w:r w:rsidR="00E00C73" w:rsidRPr="000B4F6D">
        <w:rPr>
          <w:color w:val="000000"/>
          <w:lang w:bidi="ru-RU"/>
        </w:rPr>
        <w:t>также устойчиво снижается и состави</w:t>
      </w:r>
      <w:r w:rsidR="006A0EA3" w:rsidRPr="000B4F6D">
        <w:rPr>
          <w:color w:val="000000"/>
          <w:lang w:bidi="ru-RU"/>
        </w:rPr>
        <w:t>л</w:t>
      </w:r>
      <w:r w:rsidR="005D1A64" w:rsidRPr="000B4F6D">
        <w:rPr>
          <w:color w:val="000000"/>
          <w:lang w:bidi="ru-RU"/>
        </w:rPr>
        <w:t>а</w:t>
      </w:r>
      <w:r w:rsidR="00E00C73" w:rsidRPr="000B4F6D">
        <w:rPr>
          <w:color w:val="000000"/>
          <w:lang w:bidi="ru-RU"/>
        </w:rPr>
        <w:t xml:space="preserve"> в 201</w:t>
      </w:r>
      <w:r w:rsidR="005D1A64" w:rsidRPr="000B4F6D">
        <w:rPr>
          <w:color w:val="000000"/>
          <w:lang w:bidi="ru-RU"/>
        </w:rPr>
        <w:t>6</w:t>
      </w:r>
      <w:r w:rsidR="00E00C73" w:rsidRPr="000B4F6D">
        <w:rPr>
          <w:color w:val="000000"/>
          <w:lang w:bidi="ru-RU"/>
        </w:rPr>
        <w:t xml:space="preserve"> году лишь </w:t>
      </w:r>
      <w:r w:rsidR="005D1A64" w:rsidRPr="000B4F6D">
        <w:rPr>
          <w:color w:val="000000"/>
          <w:lang w:bidi="ru-RU"/>
        </w:rPr>
        <w:t>55,1</w:t>
      </w:r>
      <w:r w:rsidR="00E00C73" w:rsidRPr="000B4F6D">
        <w:rPr>
          <w:color w:val="000000"/>
          <w:lang w:bidi="ru-RU"/>
        </w:rPr>
        <w:t xml:space="preserve">%, что есть на </w:t>
      </w:r>
      <w:r w:rsidR="00831E9F" w:rsidRPr="000B4F6D">
        <w:rPr>
          <w:color w:val="000000"/>
          <w:lang w:bidi="ru-RU"/>
        </w:rPr>
        <w:t>1</w:t>
      </w:r>
      <w:r w:rsidR="00E00C73" w:rsidRPr="000B4F6D">
        <w:rPr>
          <w:color w:val="000000"/>
          <w:lang w:bidi="ru-RU"/>
        </w:rPr>
        <w:t>0% ниже уровня 201</w:t>
      </w:r>
      <w:r w:rsidR="00831E9F" w:rsidRPr="000B4F6D">
        <w:rPr>
          <w:color w:val="000000"/>
          <w:lang w:bidi="ru-RU"/>
        </w:rPr>
        <w:t>2</w:t>
      </w:r>
      <w:r w:rsidR="00E00C73" w:rsidRPr="000B4F6D">
        <w:rPr>
          <w:color w:val="000000"/>
          <w:lang w:bidi="ru-RU"/>
        </w:rPr>
        <w:t xml:space="preserve"> года</w:t>
      </w:r>
      <w:r w:rsidR="000B77E5" w:rsidRPr="000B4F6D">
        <w:rPr>
          <w:color w:val="000000"/>
          <w:lang w:bidi="ru-RU"/>
        </w:rPr>
        <w:t>.</w:t>
      </w:r>
      <w:r w:rsidR="00692EA9" w:rsidRPr="000B4F6D">
        <w:rPr>
          <w:color w:val="000000"/>
          <w:lang w:bidi="ru-RU"/>
        </w:rPr>
        <w:t xml:space="preserve"> </w:t>
      </w:r>
      <w:r w:rsidR="00046AB8">
        <w:rPr>
          <w:color w:val="000000"/>
          <w:lang w:bidi="ru-RU"/>
        </w:rPr>
        <w:t>В</w:t>
      </w:r>
      <w:r w:rsidR="008928D0" w:rsidRPr="000B4F6D">
        <w:rPr>
          <w:color w:val="000000"/>
          <w:lang w:bidi="ru-RU"/>
        </w:rPr>
        <w:t xml:space="preserve">се эти годы общая потребность предприятий Приморского края в трудовых мигрантах из КНР превышала в </w:t>
      </w:r>
      <w:r w:rsidR="007C4AE4" w:rsidRPr="000B4F6D">
        <w:rPr>
          <w:color w:val="000000"/>
          <w:lang w:bidi="ru-RU"/>
        </w:rPr>
        <w:t>плановом порядке устанавливаемые квоты, что вызывало необходимость их корректировки в сторону увеличения.</w:t>
      </w:r>
      <w:r w:rsidR="008928D0" w:rsidRPr="000B4F6D">
        <w:rPr>
          <w:color w:val="000000"/>
          <w:lang w:bidi="ru-RU"/>
        </w:rPr>
        <w:t xml:space="preserve"> </w:t>
      </w:r>
    </w:p>
    <w:p w:rsidR="00692EA9" w:rsidRPr="000B4F6D" w:rsidRDefault="00692EA9" w:rsidP="007027C2">
      <w:pPr>
        <w:pStyle w:val="30"/>
        <w:keepNext/>
        <w:framePr w:dropCap="drop" w:lines="3" w:w="50" w:h="793" w:hRule="exact" w:hSpace="115" w:vSpace="115" w:wrap="auto" w:vAnchor="text" w:hAnchor="page" w:x="546" w:y="-525"/>
        <w:shd w:val="clear" w:color="auto" w:fill="auto"/>
        <w:spacing w:line="276" w:lineRule="auto"/>
        <w:ind w:firstLine="709"/>
        <w:contextualSpacing/>
        <w:rPr>
          <w:position w:val="-9"/>
          <w:sz w:val="28"/>
          <w:szCs w:val="28"/>
        </w:rPr>
      </w:pPr>
    </w:p>
    <w:p w:rsidR="00FA35A9" w:rsidRPr="000B4F6D" w:rsidRDefault="00CE1212" w:rsidP="007027C2">
      <w:pPr>
        <w:pStyle w:val="20"/>
        <w:shd w:val="clear" w:color="auto" w:fill="auto"/>
        <w:spacing w:line="276" w:lineRule="auto"/>
        <w:ind w:firstLine="709"/>
        <w:contextualSpacing/>
        <w:rPr>
          <w:color w:val="000000"/>
          <w:lang w:bidi="ru-RU"/>
        </w:rPr>
      </w:pPr>
      <w:r w:rsidRPr="000B4F6D">
        <w:rPr>
          <w:color w:val="000000"/>
          <w:lang w:bidi="ru-RU"/>
        </w:rPr>
        <w:t>Причем, ослабление курса российского рубля по отношению к китайскому юаню более чем в 2 раза существенно повлияло на мотивацию въезда граждан КНР в Приморский край, как в прочем и в другие приграничные районы</w:t>
      </w:r>
      <w:r w:rsidR="00FA35A9" w:rsidRPr="000B4F6D">
        <w:rPr>
          <w:color w:val="000000"/>
          <w:lang w:bidi="ru-RU"/>
        </w:rPr>
        <w:t xml:space="preserve"> Дальнего Востока. Анализ показывает, что всё более значительная их часть преследует цель ведения бизнеса полярно противоположную той, которая существовала в недалёком прошлом. Как ни парадоксально, но теперь при опустевших на российской стороне китайских рынках заметно усиливается спрос на российские промышленные и </w:t>
      </w:r>
      <w:r w:rsidR="00FA35A9" w:rsidRPr="000B4F6D">
        <w:rPr>
          <w:color w:val="000000"/>
          <w:lang w:bidi="ru-RU"/>
        </w:rPr>
        <w:lastRenderedPageBreak/>
        <w:t>продовольственные товары с целью их перепродажи на территории КНР.</w:t>
      </w:r>
    </w:p>
    <w:p w:rsidR="00170FD1" w:rsidRPr="000B4F6D" w:rsidRDefault="00692EA9" w:rsidP="007027C2">
      <w:pPr>
        <w:pStyle w:val="20"/>
        <w:shd w:val="clear" w:color="auto" w:fill="auto"/>
        <w:spacing w:line="276" w:lineRule="auto"/>
        <w:ind w:firstLine="709"/>
        <w:contextualSpacing/>
        <w:rPr>
          <w:color w:val="000000"/>
          <w:lang w:bidi="ru-RU"/>
        </w:rPr>
      </w:pPr>
      <w:r w:rsidRPr="000B4F6D">
        <w:rPr>
          <w:color w:val="000000"/>
          <w:lang w:bidi="ru-RU"/>
        </w:rPr>
        <w:t>Вполне очевидно, что</w:t>
      </w:r>
      <w:r w:rsidR="00794E16" w:rsidRPr="000B4F6D">
        <w:rPr>
          <w:color w:val="000000"/>
          <w:lang w:bidi="ru-RU"/>
        </w:rPr>
        <w:t xml:space="preserve"> </w:t>
      </w:r>
      <w:r w:rsidR="001C5A88" w:rsidRPr="000B4F6D">
        <w:rPr>
          <w:color w:val="000000"/>
          <w:lang w:bidi="ru-RU"/>
        </w:rPr>
        <w:t>эта</w:t>
      </w:r>
      <w:r w:rsidR="00794E16" w:rsidRPr="000B4F6D">
        <w:rPr>
          <w:color w:val="000000"/>
          <w:lang w:bidi="ru-RU"/>
        </w:rPr>
        <w:t xml:space="preserve"> </w:t>
      </w:r>
      <w:r w:rsidRPr="000B4F6D">
        <w:rPr>
          <w:color w:val="000000"/>
          <w:lang w:bidi="ru-RU"/>
        </w:rPr>
        <w:t>тенденция</w:t>
      </w:r>
      <w:r w:rsidR="00212F60">
        <w:rPr>
          <w:color w:val="000000"/>
          <w:lang w:bidi="ru-RU"/>
        </w:rPr>
        <w:t>,</w:t>
      </w:r>
      <w:r w:rsidRPr="000B4F6D">
        <w:rPr>
          <w:color w:val="000000"/>
          <w:lang w:bidi="ru-RU"/>
        </w:rPr>
        <w:t xml:space="preserve"> к</w:t>
      </w:r>
      <w:r w:rsidR="001C5A88" w:rsidRPr="000B4F6D">
        <w:rPr>
          <w:color w:val="000000"/>
          <w:lang w:bidi="ru-RU"/>
        </w:rPr>
        <w:t>ак</w:t>
      </w:r>
      <w:r w:rsidRPr="000B4F6D">
        <w:rPr>
          <w:color w:val="000000"/>
          <w:lang w:bidi="ru-RU"/>
        </w:rPr>
        <w:t xml:space="preserve"> </w:t>
      </w:r>
      <w:r w:rsidR="001C5A88" w:rsidRPr="000B4F6D">
        <w:rPr>
          <w:color w:val="000000"/>
          <w:lang w:bidi="ru-RU"/>
        </w:rPr>
        <w:t xml:space="preserve">и тенденция </w:t>
      </w:r>
      <w:r w:rsidRPr="000B4F6D">
        <w:rPr>
          <w:color w:val="000000"/>
          <w:lang w:bidi="ru-RU"/>
        </w:rPr>
        <w:t>сокращени</w:t>
      </w:r>
      <w:r w:rsidR="001C5A88" w:rsidRPr="000B4F6D">
        <w:rPr>
          <w:color w:val="000000"/>
          <w:lang w:bidi="ru-RU"/>
        </w:rPr>
        <w:t>я</w:t>
      </w:r>
      <w:r w:rsidRPr="000B4F6D">
        <w:rPr>
          <w:color w:val="000000"/>
          <w:lang w:bidi="ru-RU"/>
        </w:rPr>
        <w:t xml:space="preserve"> количества трудовых мигрантов из КНР в предстоящие годы не только сохранится, но и может усилиться. </w:t>
      </w:r>
      <w:r w:rsidR="00E3614D" w:rsidRPr="000B4F6D">
        <w:rPr>
          <w:color w:val="000000"/>
          <w:lang w:bidi="ru-RU"/>
        </w:rPr>
        <w:t>Но если в первом случае происходящее изменение приграничной российско-китайской торговли обусловлено непрогнозируемым значительным ухудшением социально-экономического положения России, то вторая тенденция адекватно отражает российскую миграционную политику последних лет по отношению к Дальнему Востоку.</w:t>
      </w:r>
    </w:p>
    <w:p w:rsidR="00D154B7" w:rsidRPr="000B4F6D" w:rsidRDefault="00D154B7" w:rsidP="005A0319">
      <w:pPr>
        <w:pStyle w:val="20"/>
        <w:shd w:val="clear" w:color="auto" w:fill="auto"/>
        <w:spacing w:line="276" w:lineRule="auto"/>
        <w:ind w:firstLine="709"/>
        <w:contextualSpacing/>
        <w:rPr>
          <w:color w:val="000000"/>
          <w:lang w:bidi="ru-RU"/>
        </w:rPr>
      </w:pPr>
      <w:r w:rsidRPr="000B4F6D">
        <w:rPr>
          <w:color w:val="000000"/>
          <w:lang w:bidi="ru-RU"/>
        </w:rPr>
        <w:t xml:space="preserve">Известно, что основной акцент в этой политике был сделан на всё более жёсткое регулирование зарубежных миграционных потоков в регионы российского Дальнего Востока при их устойчивом сокращении с целью обеспечения рабочими местами коренного населения и ожидаемых переселенцев из западных регионов России.  С формальной точки зрения такой стратегический замысел вполне оправдан в контексте объявленной общенациональной идеи обеспечения уже в перспективе до 2025 года </w:t>
      </w:r>
      <w:r w:rsidR="00BF6438" w:rsidRPr="000B4F6D">
        <w:rPr>
          <w:color w:val="000000"/>
          <w:lang w:bidi="ru-RU"/>
        </w:rPr>
        <w:t>высоких конкурентных позиций Дальнего Востока в Азиатско-Тихоокеанском регионе. Однако его практическая реализация выявила целый ряд как стратегических, так и тактических недоработок.</w:t>
      </w:r>
    </w:p>
    <w:p w:rsidR="00AD0485" w:rsidRPr="000B4F6D" w:rsidRDefault="00212F60" w:rsidP="007027C2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закономерным следствием явилось сокращение</w:t>
      </w:r>
      <w:r w:rsidR="00D1099C" w:rsidRPr="000B4F6D">
        <w:rPr>
          <w:rFonts w:ascii="Times New Roman" w:hAnsi="Times New Roman" w:cs="Times New Roman"/>
          <w:sz w:val="28"/>
          <w:szCs w:val="28"/>
        </w:rPr>
        <w:t xml:space="preserve"> официально привлекаемой в Приморский край иностранной рабочей силы за 5 </w:t>
      </w:r>
      <w:r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D1099C" w:rsidRPr="000B4F6D">
        <w:rPr>
          <w:rFonts w:ascii="Times New Roman" w:hAnsi="Times New Roman" w:cs="Times New Roman"/>
          <w:sz w:val="28"/>
          <w:szCs w:val="28"/>
        </w:rPr>
        <w:t xml:space="preserve">лет в 2,1 раза.  Из приведенных в табл. 1 данных видно, что жёсткое администрирование процессов оформления трудовых мигрантов с каждым годом увеличивает долю отказов </w:t>
      </w:r>
      <w:r w:rsidR="00046AB8">
        <w:rPr>
          <w:rFonts w:ascii="Times New Roman" w:hAnsi="Times New Roman" w:cs="Times New Roman"/>
          <w:sz w:val="28"/>
          <w:szCs w:val="28"/>
        </w:rPr>
        <w:t xml:space="preserve">соответствующих властных структур </w:t>
      </w:r>
      <w:r w:rsidR="00D1099C" w:rsidRPr="000B4F6D">
        <w:rPr>
          <w:rFonts w:ascii="Times New Roman" w:hAnsi="Times New Roman" w:cs="Times New Roman"/>
          <w:sz w:val="28"/>
          <w:szCs w:val="28"/>
        </w:rPr>
        <w:t>в предоставлении квот</w:t>
      </w:r>
      <w:r w:rsidR="00046AB8">
        <w:rPr>
          <w:rFonts w:ascii="Times New Roman" w:hAnsi="Times New Roman" w:cs="Times New Roman"/>
          <w:sz w:val="28"/>
          <w:szCs w:val="28"/>
        </w:rPr>
        <w:t xml:space="preserve"> в рамках их откорректированной величины</w:t>
      </w:r>
      <w:r w:rsidR="00D1099C" w:rsidRPr="000B4F6D">
        <w:rPr>
          <w:rFonts w:ascii="Times New Roman" w:hAnsi="Times New Roman" w:cs="Times New Roman"/>
          <w:sz w:val="28"/>
          <w:szCs w:val="28"/>
        </w:rPr>
        <w:t>, кот</w:t>
      </w:r>
      <w:r w:rsidR="00CD3155" w:rsidRPr="000B4F6D">
        <w:rPr>
          <w:rFonts w:ascii="Times New Roman" w:hAnsi="Times New Roman" w:cs="Times New Roman"/>
          <w:sz w:val="28"/>
          <w:szCs w:val="28"/>
        </w:rPr>
        <w:t>о</w:t>
      </w:r>
      <w:r w:rsidR="00D1099C" w:rsidRPr="000B4F6D">
        <w:rPr>
          <w:rFonts w:ascii="Times New Roman" w:hAnsi="Times New Roman" w:cs="Times New Roman"/>
          <w:sz w:val="28"/>
          <w:szCs w:val="28"/>
        </w:rPr>
        <w:t>рая в 2015 году достигла 32,1%, а по гражданам КНР- 36%.</w:t>
      </w:r>
    </w:p>
    <w:p w:rsidR="00651824" w:rsidRPr="000B4F6D" w:rsidRDefault="00D1099C" w:rsidP="007027C2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B4F6D">
        <w:rPr>
          <w:rFonts w:ascii="Times New Roman" w:hAnsi="Times New Roman" w:cs="Times New Roman"/>
          <w:sz w:val="28"/>
          <w:szCs w:val="28"/>
        </w:rPr>
        <w:t xml:space="preserve">Справедливости ради следует признать не только эту причину столь негативной динамики. </w:t>
      </w:r>
      <w:r w:rsidR="00651824" w:rsidRPr="000B4F6D">
        <w:rPr>
          <w:rFonts w:ascii="Times New Roman" w:hAnsi="Times New Roman" w:cs="Times New Roman"/>
          <w:sz w:val="28"/>
          <w:szCs w:val="28"/>
        </w:rPr>
        <w:t>Сложившаяся тенденция усугубляется существенным ухудшением ранее действовавших экономических стимулов у низкоквалифицированных китайских мигрантов трудоустройства в российских предпринимательских структурах с относительно высокой для китайского рынка труда заработной платой</w:t>
      </w:r>
      <w:r w:rsidR="00046AB8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="00B4605E" w:rsidRPr="000B4F6D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046AB8">
        <w:rPr>
          <w:rFonts w:ascii="Times New Roman" w:hAnsi="Times New Roman" w:cs="Times New Roman"/>
          <w:sz w:val="28"/>
          <w:szCs w:val="28"/>
        </w:rPr>
        <w:t>я</w:t>
      </w:r>
      <w:r w:rsidR="00B4605E" w:rsidRPr="000B4F6D">
        <w:rPr>
          <w:rFonts w:ascii="Times New Roman" w:hAnsi="Times New Roman" w:cs="Times New Roman"/>
          <w:sz w:val="28"/>
          <w:szCs w:val="28"/>
        </w:rPr>
        <w:t xml:space="preserve"> российской национальной валюты по </w:t>
      </w:r>
      <w:r w:rsidR="00A41314" w:rsidRPr="000B4F6D">
        <w:rPr>
          <w:rFonts w:ascii="Times New Roman" w:hAnsi="Times New Roman" w:cs="Times New Roman"/>
          <w:sz w:val="28"/>
          <w:szCs w:val="28"/>
        </w:rPr>
        <w:t>сравнению с китайским юанем</w:t>
      </w:r>
      <w:r w:rsidR="00046AB8">
        <w:rPr>
          <w:rFonts w:ascii="Times New Roman" w:hAnsi="Times New Roman" w:cs="Times New Roman"/>
          <w:sz w:val="28"/>
          <w:szCs w:val="28"/>
        </w:rPr>
        <w:t>.</w:t>
      </w:r>
    </w:p>
    <w:p w:rsidR="007E01C9" w:rsidRPr="000B4F6D" w:rsidRDefault="007E01C9" w:rsidP="00702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D">
        <w:rPr>
          <w:rFonts w:ascii="Times New Roman" w:hAnsi="Times New Roman" w:cs="Times New Roman"/>
          <w:sz w:val="28"/>
          <w:szCs w:val="28"/>
        </w:rPr>
        <w:t xml:space="preserve">Подтверждением данного вывода является наблюдаемое замещение на рынке труда </w:t>
      </w:r>
      <w:r w:rsidR="00514AE4" w:rsidRPr="000B4F6D">
        <w:rPr>
          <w:rFonts w:ascii="Times New Roman" w:hAnsi="Times New Roman" w:cs="Times New Roman"/>
          <w:sz w:val="28"/>
          <w:szCs w:val="28"/>
        </w:rPr>
        <w:t>Приморского края мигрантов из КНР мигрантами из КНДР, на которых фактор размера российской заработной платы пока не оказывает отрицательного влияния (рис.1).</w:t>
      </w:r>
    </w:p>
    <w:p w:rsidR="00514AE4" w:rsidRPr="000B4F6D" w:rsidRDefault="002D4717" w:rsidP="002D47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88282D" wp14:editId="0C9D233F">
            <wp:extent cx="6168070" cy="3542339"/>
            <wp:effectExtent l="0" t="0" r="444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11AA" w:rsidRPr="000B4F6D" w:rsidRDefault="003B11AA" w:rsidP="003B11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Динамика выделяемых квот на привлечение иностранной рабочей силы (чел.)</w:t>
      </w:r>
    </w:p>
    <w:p w:rsidR="007E01C9" w:rsidRDefault="00514AE4" w:rsidP="00702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D">
        <w:rPr>
          <w:rFonts w:ascii="Times New Roman" w:hAnsi="Times New Roman" w:cs="Times New Roman"/>
          <w:sz w:val="28"/>
          <w:szCs w:val="28"/>
        </w:rPr>
        <w:t xml:space="preserve">В соответствии с запросами </w:t>
      </w:r>
      <w:r w:rsidR="00046AB8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0B4F6D">
        <w:rPr>
          <w:rFonts w:ascii="Times New Roman" w:hAnsi="Times New Roman" w:cs="Times New Roman"/>
          <w:sz w:val="28"/>
          <w:szCs w:val="28"/>
        </w:rPr>
        <w:t>работодателей количество выделяемых квот здесь за тот же период увеличилось в 1,37 раза. Однако, в целом это не решает существующую в Приморском крае проблему острой нехватки рабочих рук, особенно в приграничных сельскохозяйственных районах, где поставлена задача значительного увеличения производства риса и сои, овощей, картофеля, мясных и молочных продуктов</w:t>
      </w:r>
      <w:r w:rsidR="005B7F3C">
        <w:rPr>
          <w:rFonts w:ascii="Times New Roman" w:hAnsi="Times New Roman" w:cs="Times New Roman"/>
          <w:sz w:val="28"/>
          <w:szCs w:val="28"/>
        </w:rPr>
        <w:t xml:space="preserve"> для их поставки как в северные регионы Дальнего Востока, так и в соседние страны</w:t>
      </w:r>
      <w:r w:rsidRPr="000B4F6D">
        <w:rPr>
          <w:rFonts w:ascii="Times New Roman" w:hAnsi="Times New Roman" w:cs="Times New Roman"/>
          <w:sz w:val="28"/>
          <w:szCs w:val="28"/>
        </w:rPr>
        <w:t xml:space="preserve">. </w:t>
      </w:r>
      <w:r w:rsidR="005B7F3C">
        <w:rPr>
          <w:rFonts w:ascii="Times New Roman" w:hAnsi="Times New Roman" w:cs="Times New Roman"/>
          <w:sz w:val="28"/>
          <w:szCs w:val="28"/>
        </w:rPr>
        <w:t>В этой связи представляется вполне обоснованным включение в Федеральные Законы «О территориях опережающего социально-экономического развития в Российской Федерации (№ 473 от 29.12.2014 г.) и «О свободном порте Владивосток» (№ 212 от 13.07.2015 г.) особых условий привлечения иностранных граждан для осуществления трудовой деятельности.</w:t>
      </w:r>
    </w:p>
    <w:p w:rsidR="00104AEB" w:rsidRPr="000B4F6D" w:rsidRDefault="00104AEB" w:rsidP="00104A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D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</w:rPr>
        <w:t>ее решения</w:t>
      </w:r>
      <w:r w:rsidRPr="000B4F6D">
        <w:rPr>
          <w:rFonts w:ascii="Times New Roman" w:hAnsi="Times New Roman" w:cs="Times New Roman"/>
          <w:sz w:val="28"/>
          <w:szCs w:val="28"/>
        </w:rPr>
        <w:t xml:space="preserve"> диктуется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4F6D">
        <w:rPr>
          <w:rFonts w:ascii="Times New Roman" w:hAnsi="Times New Roman" w:cs="Times New Roman"/>
          <w:sz w:val="28"/>
          <w:szCs w:val="28"/>
        </w:rPr>
        <w:t xml:space="preserve"> председателем российского правительства 28 октября 2015 года Концепци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B4F6D">
        <w:rPr>
          <w:rFonts w:ascii="Times New Roman" w:hAnsi="Times New Roman" w:cs="Times New Roman"/>
          <w:sz w:val="28"/>
          <w:szCs w:val="28"/>
        </w:rPr>
        <w:t xml:space="preserve"> развития приграничных территорий субъектов Российской Федерации, входящих в состав Дальневосточного Федерального округа. В данном документе отмечается, что в сельском хозяйстве этих территорий только за последние 5 лет численность трудовых ресурсов сократилась на 22 %, тогда как относительное участие иностранных граждан не превышает 4%.</w:t>
      </w:r>
    </w:p>
    <w:p w:rsidR="005B7F3C" w:rsidRDefault="005B7F3C" w:rsidP="00702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этих документах зафиксировано, что при прочих равных условиях приоритет</w:t>
      </w:r>
      <w:r w:rsidR="00A5074F">
        <w:rPr>
          <w:rFonts w:ascii="Times New Roman" w:hAnsi="Times New Roman" w:cs="Times New Roman"/>
          <w:sz w:val="28"/>
          <w:szCs w:val="28"/>
        </w:rPr>
        <w:t xml:space="preserve"> в приеме на работу имеют граждане Российской Федерации при одновременном снятии действующего сейчас требования на </w:t>
      </w:r>
      <w:r w:rsidR="00A5074F">
        <w:rPr>
          <w:rFonts w:ascii="Times New Roman" w:hAnsi="Times New Roman" w:cs="Times New Roman"/>
          <w:sz w:val="28"/>
          <w:szCs w:val="28"/>
        </w:rPr>
        <w:lastRenderedPageBreak/>
        <w:t>получение разрешительных документов для привлечения и использования иностранных граждан, включая квоты для получения приглашений на въезд и разрешений на работу, устанавливаемых российскими властями.</w:t>
      </w:r>
    </w:p>
    <w:p w:rsidR="00A5074F" w:rsidRDefault="00A5074F" w:rsidP="00702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Приморском крае, как и в других регионах Дальнего Востока, далеко не все приграничные муниципальные образования попадают под действие указанных Федеральных Законов, что создает определенную проблему обеспечения равноправной предпринимательской среды для резидентов и не резидентов территорий особого экономического статуса, занятых одним и тем же видом экономической деятельности.</w:t>
      </w: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212F60" w:rsidRDefault="00212F60" w:rsidP="0014552B">
      <w:pPr>
        <w:pStyle w:val="20"/>
        <w:shd w:val="clear" w:color="auto" w:fill="auto"/>
        <w:spacing w:after="132" w:line="276" w:lineRule="auto"/>
        <w:ind w:left="4380"/>
        <w:rPr>
          <w:color w:val="000000"/>
          <w:lang w:bidi="ru-RU"/>
        </w:rPr>
      </w:pPr>
    </w:p>
    <w:p w:rsidR="00E11262" w:rsidRPr="000B4F6D" w:rsidRDefault="00E11262" w:rsidP="0014552B">
      <w:pPr>
        <w:pStyle w:val="20"/>
        <w:shd w:val="clear" w:color="auto" w:fill="auto"/>
        <w:spacing w:after="132" w:line="276" w:lineRule="auto"/>
        <w:ind w:left="4380"/>
      </w:pPr>
      <w:r w:rsidRPr="000B4F6D">
        <w:rPr>
          <w:color w:val="000000"/>
          <w:lang w:bidi="ru-RU"/>
        </w:rPr>
        <w:lastRenderedPageBreak/>
        <w:t>Литература</w:t>
      </w:r>
    </w:p>
    <w:p w:rsidR="00906FDF" w:rsidRDefault="00906FDF" w:rsidP="0014552B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line="276" w:lineRule="auto"/>
      </w:pPr>
      <w:r>
        <w:t xml:space="preserve">Латкин А.П. Российский Дальний Восток: предпосылки и условия привлечения иностранных инвестиций </w:t>
      </w:r>
      <w:r w:rsidRPr="00906FDF">
        <w:t>[</w:t>
      </w:r>
      <w:r>
        <w:t>Текст</w:t>
      </w:r>
      <w:proofErr w:type="gramStart"/>
      <w:r w:rsidRPr="00906FDF">
        <w:t>]</w:t>
      </w:r>
      <w:r w:rsidR="00CC2978">
        <w:t xml:space="preserve"> :</w:t>
      </w:r>
      <w:proofErr w:type="gramEnd"/>
      <w:r w:rsidR="00CC2978">
        <w:t xml:space="preserve"> монография / А.П. Л</w:t>
      </w:r>
      <w:r>
        <w:t xml:space="preserve">аткин. В.А. Казакова, Т.В. Евсеева; под общ. ред. проф. А.П. </w:t>
      </w:r>
      <w:proofErr w:type="spellStart"/>
      <w:r>
        <w:t>Латкина</w:t>
      </w:r>
      <w:proofErr w:type="spellEnd"/>
      <w:r>
        <w:t xml:space="preserve">. – </w:t>
      </w:r>
      <w:proofErr w:type="gramStart"/>
      <w:r>
        <w:t>Владивосток :</w:t>
      </w:r>
      <w:proofErr w:type="gramEnd"/>
      <w:r>
        <w:t xml:space="preserve"> Изд-во ВГУЭС. 2015. – 240 с.</w:t>
      </w:r>
    </w:p>
    <w:p w:rsidR="00906FDF" w:rsidRPr="00DD5039" w:rsidRDefault="00906FDF" w:rsidP="0014552B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line="276" w:lineRule="auto"/>
      </w:pPr>
      <w:r>
        <w:t>Латкин А.П.</w:t>
      </w:r>
      <w:r w:rsidR="00CC2978">
        <w:t>,</w:t>
      </w:r>
      <w:r>
        <w:t xml:space="preserve"> </w:t>
      </w:r>
      <w:proofErr w:type="spellStart"/>
      <w:r>
        <w:t>Сян</w:t>
      </w:r>
      <w:proofErr w:type="spellEnd"/>
      <w:r>
        <w:t xml:space="preserve"> </w:t>
      </w:r>
      <w:proofErr w:type="spellStart"/>
      <w:r>
        <w:t>Ицзюнь</w:t>
      </w:r>
      <w:proofErr w:type="spellEnd"/>
      <w:r>
        <w:t>. Оценка динамики и качественных изменений российско-китайского экономического сотрудничества в приграничных северо-восточных регионах.</w:t>
      </w:r>
      <w:r w:rsidR="00DD5039">
        <w:t xml:space="preserve"> // </w:t>
      </w:r>
      <w:r w:rsidR="00DD5039" w:rsidRPr="000B4F6D">
        <w:rPr>
          <w:color w:val="000000"/>
          <w:lang w:bidi="ru-RU"/>
        </w:rPr>
        <w:t>Территория новых возможностей. Вестник Владивостокского государственного университета экономики и сервиса. 201</w:t>
      </w:r>
      <w:r w:rsidR="00DD5039">
        <w:rPr>
          <w:color w:val="000000"/>
          <w:lang w:bidi="ru-RU"/>
        </w:rPr>
        <w:t>5</w:t>
      </w:r>
      <w:r w:rsidR="00DD5039" w:rsidRPr="000B4F6D">
        <w:rPr>
          <w:color w:val="000000"/>
          <w:lang w:bidi="ru-RU"/>
        </w:rPr>
        <w:t xml:space="preserve">. № 3. С. </w:t>
      </w:r>
      <w:r w:rsidR="00DD5039">
        <w:rPr>
          <w:color w:val="000000"/>
          <w:lang w:bidi="ru-RU"/>
        </w:rPr>
        <w:t>11-18.</w:t>
      </w:r>
    </w:p>
    <w:p w:rsidR="00DD5039" w:rsidRPr="00906FDF" w:rsidRDefault="00DD5039" w:rsidP="0014552B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line="276" w:lineRule="auto"/>
      </w:pPr>
      <w:r>
        <w:t>Латкин А.П. Трудовая миграция из КНР в российское Приморье: основные предпосылки и новые подходы к регулированию / А.П. Латкин, С.В. Кузьмина // Управление экономическими системами: Электронный научный журнал. – 2014. - № 12.</w:t>
      </w:r>
    </w:p>
    <w:p w:rsidR="00E11262" w:rsidRPr="00DD5039" w:rsidRDefault="00E11262" w:rsidP="0014552B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line="276" w:lineRule="auto"/>
      </w:pPr>
      <w:r w:rsidRPr="000B4F6D">
        <w:rPr>
          <w:color w:val="000000"/>
          <w:lang w:bidi="ru-RU"/>
        </w:rPr>
        <w:t>Латкин А.П. Российский Дальний Восток: Ретроспектива и перспектива социально-экономического развития. // Территория новых возможностей. Вестник Владивостокского государственного университета экономики и сервиса. 2012. № 3. С. 120-128.</w:t>
      </w:r>
    </w:p>
    <w:p w:rsidR="00DD5039" w:rsidRPr="000B4F6D" w:rsidRDefault="00DD5039" w:rsidP="0014552B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line="276" w:lineRule="auto"/>
      </w:pPr>
      <w:proofErr w:type="spellStart"/>
      <w:r>
        <w:rPr>
          <w:color w:val="000000"/>
          <w:lang w:bidi="ru-RU"/>
        </w:rPr>
        <w:t>Торенко</w:t>
      </w:r>
      <w:proofErr w:type="spellEnd"/>
      <w:r>
        <w:rPr>
          <w:color w:val="000000"/>
          <w:lang w:bidi="ru-RU"/>
        </w:rPr>
        <w:t xml:space="preserve"> А.Н. </w:t>
      </w:r>
      <w:r w:rsidR="00CB5B0C">
        <w:rPr>
          <w:color w:val="000000"/>
          <w:lang w:bidi="ru-RU"/>
        </w:rPr>
        <w:t>Организационный механизм</w:t>
      </w:r>
      <w:r w:rsidR="00FE692D">
        <w:rPr>
          <w:color w:val="000000"/>
          <w:lang w:bidi="ru-RU"/>
        </w:rPr>
        <w:t xml:space="preserve"> регулирования миграционных процессов в приграничном регионе. / А.Н. </w:t>
      </w:r>
      <w:proofErr w:type="spellStart"/>
      <w:r w:rsidR="00FE692D">
        <w:rPr>
          <w:color w:val="000000"/>
          <w:lang w:bidi="ru-RU"/>
        </w:rPr>
        <w:t>Торенко</w:t>
      </w:r>
      <w:proofErr w:type="spellEnd"/>
      <w:r w:rsidR="00FE692D">
        <w:rPr>
          <w:color w:val="000000"/>
          <w:lang w:bidi="ru-RU"/>
        </w:rPr>
        <w:t xml:space="preserve">. – </w:t>
      </w:r>
      <w:proofErr w:type="gramStart"/>
      <w:r w:rsidR="00FE692D">
        <w:rPr>
          <w:color w:val="000000"/>
          <w:lang w:bidi="ru-RU"/>
        </w:rPr>
        <w:t>М. :</w:t>
      </w:r>
      <w:proofErr w:type="gramEnd"/>
      <w:r w:rsidR="00FE692D">
        <w:rPr>
          <w:color w:val="000000"/>
          <w:lang w:bidi="ru-RU"/>
        </w:rPr>
        <w:t xml:space="preserve"> Издательство ЦНТБ пищевой промышленности, 2014. -214 с.</w:t>
      </w:r>
    </w:p>
    <w:p w:rsidR="00E11262" w:rsidRPr="000B4F6D" w:rsidRDefault="00E11262" w:rsidP="00F73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62" w:rsidRPr="000B4F6D" w:rsidRDefault="00E11262" w:rsidP="00F73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262" w:rsidRPr="000B4F6D" w:rsidSect="003B11A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6411"/>
    <w:multiLevelType w:val="multilevel"/>
    <w:tmpl w:val="5D1C6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8441F7"/>
    <w:multiLevelType w:val="hybridMultilevel"/>
    <w:tmpl w:val="CC963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FD"/>
    <w:rsid w:val="0001350F"/>
    <w:rsid w:val="00046AB8"/>
    <w:rsid w:val="00062633"/>
    <w:rsid w:val="00072CE8"/>
    <w:rsid w:val="00083FBC"/>
    <w:rsid w:val="00087454"/>
    <w:rsid w:val="000B4F6D"/>
    <w:rsid w:val="000B77E5"/>
    <w:rsid w:val="000C5B9B"/>
    <w:rsid w:val="000D1B05"/>
    <w:rsid w:val="000D1E91"/>
    <w:rsid w:val="00104AEB"/>
    <w:rsid w:val="00106252"/>
    <w:rsid w:val="001167D7"/>
    <w:rsid w:val="00120818"/>
    <w:rsid w:val="0014552B"/>
    <w:rsid w:val="00146D16"/>
    <w:rsid w:val="00152776"/>
    <w:rsid w:val="00155135"/>
    <w:rsid w:val="00167743"/>
    <w:rsid w:val="00170FD1"/>
    <w:rsid w:val="00180BB7"/>
    <w:rsid w:val="00181297"/>
    <w:rsid w:val="001C5A88"/>
    <w:rsid w:val="00212F60"/>
    <w:rsid w:val="00222823"/>
    <w:rsid w:val="00230427"/>
    <w:rsid w:val="00256F95"/>
    <w:rsid w:val="002B51DC"/>
    <w:rsid w:val="002D4717"/>
    <w:rsid w:val="002F0C8B"/>
    <w:rsid w:val="002F7125"/>
    <w:rsid w:val="002F767E"/>
    <w:rsid w:val="0030374D"/>
    <w:rsid w:val="00310BA8"/>
    <w:rsid w:val="003A0E83"/>
    <w:rsid w:val="003A3A19"/>
    <w:rsid w:val="003B11AA"/>
    <w:rsid w:val="00403896"/>
    <w:rsid w:val="00472D40"/>
    <w:rsid w:val="00473BE1"/>
    <w:rsid w:val="0048085A"/>
    <w:rsid w:val="00485B15"/>
    <w:rsid w:val="0049075D"/>
    <w:rsid w:val="004A70E2"/>
    <w:rsid w:val="004C625D"/>
    <w:rsid w:val="004D5140"/>
    <w:rsid w:val="004D71B5"/>
    <w:rsid w:val="00514AE4"/>
    <w:rsid w:val="005348F2"/>
    <w:rsid w:val="005A0319"/>
    <w:rsid w:val="005B7A56"/>
    <w:rsid w:val="005B7F3C"/>
    <w:rsid w:val="005D1A64"/>
    <w:rsid w:val="005D697D"/>
    <w:rsid w:val="005F68E5"/>
    <w:rsid w:val="006002EF"/>
    <w:rsid w:val="0062432A"/>
    <w:rsid w:val="00635467"/>
    <w:rsid w:val="00651824"/>
    <w:rsid w:val="006759A7"/>
    <w:rsid w:val="00692EA9"/>
    <w:rsid w:val="006A0EA3"/>
    <w:rsid w:val="006B7A0E"/>
    <w:rsid w:val="006E4B14"/>
    <w:rsid w:val="007027C2"/>
    <w:rsid w:val="00716B3F"/>
    <w:rsid w:val="00732628"/>
    <w:rsid w:val="00743B46"/>
    <w:rsid w:val="00744CF1"/>
    <w:rsid w:val="00750463"/>
    <w:rsid w:val="00752DE1"/>
    <w:rsid w:val="007866F0"/>
    <w:rsid w:val="00794E16"/>
    <w:rsid w:val="007C4AE4"/>
    <w:rsid w:val="007E01C9"/>
    <w:rsid w:val="00831E9F"/>
    <w:rsid w:val="0083454B"/>
    <w:rsid w:val="00846140"/>
    <w:rsid w:val="00866E3E"/>
    <w:rsid w:val="008928D0"/>
    <w:rsid w:val="008D4679"/>
    <w:rsid w:val="008D563D"/>
    <w:rsid w:val="008D65AF"/>
    <w:rsid w:val="008E4507"/>
    <w:rsid w:val="00906FDF"/>
    <w:rsid w:val="00921A0F"/>
    <w:rsid w:val="0094535D"/>
    <w:rsid w:val="00972663"/>
    <w:rsid w:val="00986FEF"/>
    <w:rsid w:val="00992975"/>
    <w:rsid w:val="00997329"/>
    <w:rsid w:val="009A2A12"/>
    <w:rsid w:val="009A7623"/>
    <w:rsid w:val="009B2879"/>
    <w:rsid w:val="009F31E0"/>
    <w:rsid w:val="009F6239"/>
    <w:rsid w:val="00A14113"/>
    <w:rsid w:val="00A41314"/>
    <w:rsid w:val="00A451E0"/>
    <w:rsid w:val="00A5074F"/>
    <w:rsid w:val="00A64DAD"/>
    <w:rsid w:val="00A700AC"/>
    <w:rsid w:val="00A70DA4"/>
    <w:rsid w:val="00A723C4"/>
    <w:rsid w:val="00AC0AF9"/>
    <w:rsid w:val="00AD0485"/>
    <w:rsid w:val="00AD14D3"/>
    <w:rsid w:val="00B00B6A"/>
    <w:rsid w:val="00B4605E"/>
    <w:rsid w:val="00B736F1"/>
    <w:rsid w:val="00B83745"/>
    <w:rsid w:val="00B93345"/>
    <w:rsid w:val="00BC2AB2"/>
    <w:rsid w:val="00BC6F9B"/>
    <w:rsid w:val="00BF6438"/>
    <w:rsid w:val="00C053FD"/>
    <w:rsid w:val="00C4571D"/>
    <w:rsid w:val="00C60F23"/>
    <w:rsid w:val="00C67B53"/>
    <w:rsid w:val="00C87A0C"/>
    <w:rsid w:val="00CB5B0C"/>
    <w:rsid w:val="00CC2978"/>
    <w:rsid w:val="00CD3155"/>
    <w:rsid w:val="00CE1212"/>
    <w:rsid w:val="00CE6D8A"/>
    <w:rsid w:val="00D0684A"/>
    <w:rsid w:val="00D1099C"/>
    <w:rsid w:val="00D154B7"/>
    <w:rsid w:val="00D923B4"/>
    <w:rsid w:val="00D97E0B"/>
    <w:rsid w:val="00DA4389"/>
    <w:rsid w:val="00DD5039"/>
    <w:rsid w:val="00DE1F85"/>
    <w:rsid w:val="00E00C73"/>
    <w:rsid w:val="00E039FD"/>
    <w:rsid w:val="00E11262"/>
    <w:rsid w:val="00E3614D"/>
    <w:rsid w:val="00E43D20"/>
    <w:rsid w:val="00E44A23"/>
    <w:rsid w:val="00E51684"/>
    <w:rsid w:val="00E71706"/>
    <w:rsid w:val="00E755DA"/>
    <w:rsid w:val="00E85AB9"/>
    <w:rsid w:val="00E9417D"/>
    <w:rsid w:val="00EE4D65"/>
    <w:rsid w:val="00F13B85"/>
    <w:rsid w:val="00F20301"/>
    <w:rsid w:val="00F42238"/>
    <w:rsid w:val="00F42DBB"/>
    <w:rsid w:val="00F70D70"/>
    <w:rsid w:val="00F71789"/>
    <w:rsid w:val="00F71F68"/>
    <w:rsid w:val="00F73FE1"/>
    <w:rsid w:val="00F90095"/>
    <w:rsid w:val="00FA35A9"/>
    <w:rsid w:val="00FC0FEC"/>
    <w:rsid w:val="00FE692D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3FA71-2FDC-4EDB-881E-6C08B58E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link w:val="8"/>
    <w:rsid w:val="00E00C7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0C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E00C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E00C7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92E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EA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rsid w:val="00E11262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E755DA"/>
    <w:rPr>
      <w:rFonts w:ascii="Garamond" w:eastAsia="Garamond" w:hAnsi="Garamond" w:cs="Garamond"/>
      <w:b/>
      <w:bCs/>
      <w:i/>
      <w:iCs/>
      <w:sz w:val="54"/>
      <w:szCs w:val="5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E755DA"/>
    <w:rPr>
      <w:rFonts w:ascii="Garamond" w:eastAsia="Garamond" w:hAnsi="Garamond" w:cs="Garamond"/>
      <w:b/>
      <w:bCs/>
      <w:i/>
      <w:iCs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755DA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b/>
      <w:bCs/>
      <w:i/>
      <w:iCs/>
      <w:sz w:val="54"/>
      <w:szCs w:val="54"/>
    </w:rPr>
  </w:style>
  <w:style w:type="paragraph" w:customStyle="1" w:styleId="5">
    <w:name w:val="Основной текст (5)"/>
    <w:basedOn w:val="a"/>
    <w:link w:val="5Exact"/>
    <w:rsid w:val="00E755DA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KUZ_s.v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.Latkinp@vv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9116400421263601E-2"/>
          <c:y val="8.6160657200419419E-2"/>
          <c:w val="0.88388583053592329"/>
          <c:h val="0.7687716137611994"/>
        </c:manualLayout>
      </c:layout>
      <c:bar3DChart>
        <c:barDir val="col"/>
        <c:grouping val="clustered"/>
        <c:varyColors val="0"/>
        <c:ser>
          <c:idx val="0"/>
          <c:order val="0"/>
          <c:tx>
            <c:v>Всего</c:v>
          </c:tx>
          <c:spPr>
            <a:pattFill prst="ltVert">
              <a:fgClr>
                <a:schemeClr val="tx1"/>
              </a:fgClr>
              <a:bgClr>
                <a:schemeClr val="dk1">
                  <a:tint val="88500"/>
                  <a:lumMod val="20000"/>
                  <a:lumOff val="80000"/>
                </a:schemeClr>
              </a:bgClr>
            </a:pattFill>
            <a:ln>
              <a:solidFill>
                <a:schemeClr val="dk1">
                  <a:tint val="88500"/>
                </a:schemeClr>
              </a:solidFill>
            </a:ln>
            <a:effectLst/>
            <a:sp3d>
              <a:contourClr>
                <a:schemeClr val="dk1">
                  <a:tint val="88500"/>
                </a:schemeClr>
              </a:contourClr>
            </a:sp3d>
          </c:spPr>
          <c:invertIfNegative val="0"/>
          <c:cat>
            <c:numRef>
              <c:f>'[Миграция КНР А П Латкин.xlsx]Лист1'!$C$3:$G$3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'[Миграция КНР А П Латкин.xlsx]Лист1'!$C$4:$G$4</c:f>
              <c:numCache>
                <c:formatCode>General</c:formatCode>
                <c:ptCount val="5"/>
                <c:pt idx="0">
                  <c:v>29992</c:v>
                </c:pt>
                <c:pt idx="1">
                  <c:v>27142</c:v>
                </c:pt>
                <c:pt idx="2">
                  <c:v>27007</c:v>
                </c:pt>
                <c:pt idx="3">
                  <c:v>23656</c:v>
                </c:pt>
                <c:pt idx="4">
                  <c:v>18530</c:v>
                </c:pt>
              </c:numCache>
            </c:numRef>
          </c:val>
        </c:ser>
        <c:ser>
          <c:idx val="1"/>
          <c:order val="1"/>
          <c:tx>
            <c:v>КНР</c:v>
          </c:tx>
          <c:spPr>
            <a:pattFill prst="horzBrick">
              <a:fgClr>
                <a:schemeClr val="tx1"/>
              </a:fgClr>
              <a:bgClr>
                <a:schemeClr val="dk1">
                  <a:tint val="55000"/>
                  <a:lumMod val="20000"/>
                  <a:lumOff val="80000"/>
                </a:schemeClr>
              </a:bgClr>
            </a:pattFill>
            <a:ln>
              <a:solidFill>
                <a:schemeClr val="dk1">
                  <a:tint val="55000"/>
                </a:schemeClr>
              </a:solidFill>
            </a:ln>
            <a:effectLst/>
            <a:sp3d>
              <a:contourClr>
                <a:schemeClr val="dk1">
                  <a:tint val="55000"/>
                </a:schemeClr>
              </a:contourClr>
            </a:sp3d>
          </c:spPr>
          <c:invertIfNegative val="0"/>
          <c:cat>
            <c:numRef>
              <c:f>'[Миграция КНР А П Латкин.xlsx]Лист1'!$C$3:$G$3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'[Миграция КНР А П Латкин.xlsx]Лист1'!$C$7:$G$7</c:f>
              <c:numCache>
                <c:formatCode>General</c:formatCode>
                <c:ptCount val="5"/>
                <c:pt idx="0">
                  <c:v>19276</c:v>
                </c:pt>
                <c:pt idx="1">
                  <c:v>16106</c:v>
                </c:pt>
                <c:pt idx="2">
                  <c:v>14041</c:v>
                </c:pt>
                <c:pt idx="3">
                  <c:v>13932</c:v>
                </c:pt>
                <c:pt idx="4">
                  <c:v>10212</c:v>
                </c:pt>
              </c:numCache>
            </c:numRef>
          </c:val>
        </c:ser>
        <c:ser>
          <c:idx val="2"/>
          <c:order val="2"/>
          <c:tx>
            <c:v>КНДР</c:v>
          </c:tx>
          <c:spPr>
            <a:pattFill prst="wdDnDiag">
              <a:fgClr>
                <a:schemeClr val="tx1"/>
              </a:fgClr>
              <a:bgClr>
                <a:schemeClr val="dk1">
                  <a:tint val="75000"/>
                  <a:lumMod val="20000"/>
                  <a:lumOff val="80000"/>
                </a:schemeClr>
              </a:bgClr>
            </a:pattFill>
            <a:ln>
              <a:solidFill>
                <a:schemeClr val="dk1">
                  <a:tint val="75000"/>
                </a:schemeClr>
              </a:solidFill>
            </a:ln>
            <a:effectLst/>
            <a:sp3d>
              <a:contourClr>
                <a:schemeClr val="dk1">
                  <a:tint val="75000"/>
                </a:schemeClr>
              </a:contourClr>
            </a:sp3d>
          </c:spPr>
          <c:invertIfNegative val="0"/>
          <c:cat>
            <c:numRef>
              <c:f>'[Миграция КНР А П Латкин.xlsx]Лист1'!$C$3:$G$3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'[Миграция КНР А П Латкин.xlsx]Лист1'!$C$10:$G$10</c:f>
              <c:numCache>
                <c:formatCode>General</c:formatCode>
                <c:ptCount val="5"/>
                <c:pt idx="0">
                  <c:v>5831</c:v>
                </c:pt>
                <c:pt idx="1">
                  <c:v>6202</c:v>
                </c:pt>
                <c:pt idx="2">
                  <c:v>7350</c:v>
                </c:pt>
                <c:pt idx="3">
                  <c:v>9218</c:v>
                </c:pt>
                <c:pt idx="4">
                  <c:v>8014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288015896"/>
        <c:axId val="288016288"/>
        <c:axId val="0"/>
      </c:bar3DChart>
      <c:catAx>
        <c:axId val="288015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016288"/>
        <c:crosses val="autoZero"/>
        <c:auto val="1"/>
        <c:lblAlgn val="ctr"/>
        <c:lblOffset val="100"/>
        <c:noMultiLvlLbl val="0"/>
      </c:catAx>
      <c:valAx>
        <c:axId val="288016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015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0781303457858161"/>
          <c:y val="0.9052060571100573"/>
          <c:w val="0.33946502198751766"/>
          <c:h val="9.37374437722531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A517-B10F-46BA-AC1B-EFA4D046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Латкин Александр</cp:lastModifiedBy>
  <cp:revision>2</cp:revision>
  <cp:lastPrinted>2016-05-06T00:52:00Z</cp:lastPrinted>
  <dcterms:created xsi:type="dcterms:W3CDTF">2016-07-15T01:07:00Z</dcterms:created>
  <dcterms:modified xsi:type="dcterms:W3CDTF">2016-07-15T01:07:00Z</dcterms:modified>
</cp:coreProperties>
</file>