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33" w:rsidRPr="00646402" w:rsidRDefault="00BE0B33" w:rsidP="00646402">
      <w:pPr>
        <w:spacing w:after="120" w:line="240" w:lineRule="auto"/>
        <w:jc w:val="center"/>
        <w:rPr>
          <w:b/>
        </w:rPr>
      </w:pPr>
      <w:r w:rsidRPr="00646402">
        <w:rPr>
          <w:b/>
        </w:rPr>
        <w:t>Сравнительное прогнозирование</w:t>
      </w:r>
      <w:r w:rsidR="00646402">
        <w:rPr>
          <w:b/>
        </w:rPr>
        <w:br/>
      </w:r>
      <w:r w:rsidRPr="00646402">
        <w:rPr>
          <w:b/>
        </w:rPr>
        <w:t xml:space="preserve">как метод оценки </w:t>
      </w:r>
      <w:r w:rsidR="007B21A1" w:rsidRPr="00646402">
        <w:rPr>
          <w:b/>
        </w:rPr>
        <w:t xml:space="preserve">крупных </w:t>
      </w:r>
      <w:r w:rsidRPr="00646402">
        <w:rPr>
          <w:b/>
        </w:rPr>
        <w:t>инвестиционных проектов</w:t>
      </w:r>
      <w:r w:rsidR="002C7734" w:rsidRPr="00646402">
        <w:rPr>
          <w:b/>
        </w:rPr>
        <w:t xml:space="preserve"> </w:t>
      </w:r>
    </w:p>
    <w:p w:rsidR="00BE0B33" w:rsidRDefault="00BE0B33" w:rsidP="00646402"/>
    <w:p w:rsidR="00B53FFC" w:rsidRPr="00646402" w:rsidRDefault="00B53FFC" w:rsidP="00646402">
      <w:r w:rsidRPr="00646402">
        <w:t>Оценка инвестиционных проектов и прогнозирование их результатов с высокой то</w:t>
      </w:r>
      <w:r w:rsidRPr="00646402">
        <w:t>ч</w:t>
      </w:r>
      <w:r w:rsidRPr="00646402">
        <w:t>ностью является значимой проблемой в сфере современного бизнеса. Особой требовательн</w:t>
      </w:r>
      <w:r w:rsidRPr="00646402">
        <w:t>о</w:t>
      </w:r>
      <w:r w:rsidRPr="00646402">
        <w:t xml:space="preserve">стью к </w:t>
      </w:r>
      <w:r w:rsidR="00B76483" w:rsidRPr="00646402">
        <w:t>корректному</w:t>
      </w:r>
      <w:r w:rsidRPr="00646402">
        <w:t xml:space="preserve"> планирован</w:t>
      </w:r>
      <w:r w:rsidR="00B76483" w:rsidRPr="00646402">
        <w:t>ию и прогнозу обладают проекты с крупными капиталовл</w:t>
      </w:r>
      <w:r w:rsidR="00B76483" w:rsidRPr="00646402">
        <w:t>о</w:t>
      </w:r>
      <w:r w:rsidR="00B76483" w:rsidRPr="00646402">
        <w:t>жениями. Предлагается использовать, помимо традиционных финансово-математических методов оценки экономической эффективности, метод сравнительного прогнозирования с использованием эталонной группы.</w:t>
      </w:r>
    </w:p>
    <w:p w:rsidR="00B76483" w:rsidRDefault="00B76483" w:rsidP="00646402">
      <w:r>
        <w:rPr>
          <w:b/>
        </w:rPr>
        <w:t xml:space="preserve">Ключевые слова и словосочетания: </w:t>
      </w:r>
      <w:r>
        <w:t>сравнительное прогнозирование, оценка инв</w:t>
      </w:r>
      <w:r>
        <w:t>е</w:t>
      </w:r>
      <w:r>
        <w:t>стиционных проектов, математические методы</w:t>
      </w:r>
    </w:p>
    <w:p w:rsidR="00646402" w:rsidRDefault="00646402" w:rsidP="00646402"/>
    <w:p w:rsidR="00EF7052" w:rsidRPr="00EF7052" w:rsidRDefault="007B21A1" w:rsidP="00646402">
      <w:pPr>
        <w:rPr>
          <w:b/>
          <w:lang w:val="en-US"/>
        </w:rPr>
      </w:pPr>
      <w:r w:rsidRPr="00646402">
        <w:rPr>
          <w:b/>
          <w:lang w:val="en-US"/>
        </w:rPr>
        <w:t>Reference-class forecasting for large capital projects</w:t>
      </w:r>
      <w:r w:rsidR="002C7734" w:rsidRPr="00646402">
        <w:rPr>
          <w:b/>
          <w:lang w:val="en-US"/>
        </w:rPr>
        <w:t xml:space="preserve"> </w:t>
      </w:r>
    </w:p>
    <w:p w:rsidR="00BE0B33" w:rsidRDefault="00680051" w:rsidP="00646402">
      <w:pPr>
        <w:rPr>
          <w:lang w:val="en-US"/>
        </w:rPr>
      </w:pPr>
      <w:bookmarkStart w:id="0" w:name="_GoBack"/>
      <w:bookmarkEnd w:id="0"/>
      <w:r>
        <w:rPr>
          <w:lang w:val="en-US"/>
        </w:rPr>
        <w:t>A major issue in the world of modern business is the assessment of investment projects. Among them are large capital projects that are extremely sensitive to the accuracy of the employed forecasting</w:t>
      </w:r>
      <w:r w:rsidR="001635FC">
        <w:rPr>
          <w:lang w:val="en-US"/>
        </w:rPr>
        <w:t xml:space="preserve"> and planning techniques. </w:t>
      </w:r>
      <w:r w:rsidR="002C7734">
        <w:rPr>
          <w:lang w:val="en-US"/>
        </w:rPr>
        <w:t>In add</w:t>
      </w:r>
      <w:r w:rsidR="002C7734">
        <w:rPr>
          <w:lang w:val="en-US"/>
        </w:rPr>
        <w:t>i</w:t>
      </w:r>
      <w:r w:rsidR="002C7734">
        <w:rPr>
          <w:lang w:val="en-US"/>
        </w:rPr>
        <w:t>tion to</w:t>
      </w:r>
      <w:r w:rsidR="001635FC">
        <w:rPr>
          <w:lang w:val="en-US"/>
        </w:rPr>
        <w:t xml:space="preserve"> the traditional math</w:t>
      </w:r>
      <w:r w:rsidR="002C7734">
        <w:rPr>
          <w:lang w:val="en-US"/>
        </w:rPr>
        <w:t>ematics</w:t>
      </w:r>
      <w:r w:rsidR="001635FC">
        <w:rPr>
          <w:lang w:val="en-US"/>
        </w:rPr>
        <w:t xml:space="preserve">-based and financial </w:t>
      </w:r>
      <w:r w:rsidR="00056F78">
        <w:rPr>
          <w:lang w:val="en-US"/>
        </w:rPr>
        <w:t>methods,</w:t>
      </w:r>
      <w:r w:rsidR="001635FC">
        <w:rPr>
          <w:lang w:val="en-US"/>
        </w:rPr>
        <w:t xml:space="preserve"> </w:t>
      </w:r>
      <w:r w:rsidR="002C7734">
        <w:rPr>
          <w:lang w:val="en-US"/>
        </w:rPr>
        <w:t>the use of reference-class forecas</w:t>
      </w:r>
      <w:r w:rsidR="002C7734">
        <w:rPr>
          <w:lang w:val="en-US"/>
        </w:rPr>
        <w:t>t</w:t>
      </w:r>
      <w:r w:rsidR="002C7734">
        <w:rPr>
          <w:lang w:val="en-US"/>
        </w:rPr>
        <w:t>ing is</w:t>
      </w:r>
      <w:r w:rsidR="001635FC">
        <w:rPr>
          <w:lang w:val="en-US"/>
        </w:rPr>
        <w:t xml:space="preserve"> </w:t>
      </w:r>
      <w:r w:rsidR="002C7734">
        <w:rPr>
          <w:lang w:val="en-US"/>
        </w:rPr>
        <w:t>also advisable.</w:t>
      </w:r>
    </w:p>
    <w:p w:rsidR="002C7734" w:rsidRPr="002C7734" w:rsidRDefault="002C7734" w:rsidP="00646402">
      <w:pPr>
        <w:rPr>
          <w:lang w:val="en-US"/>
        </w:rPr>
      </w:pPr>
      <w:r>
        <w:rPr>
          <w:b/>
          <w:lang w:val="en-US"/>
        </w:rPr>
        <w:t xml:space="preserve">Keywords: </w:t>
      </w:r>
      <w:r>
        <w:rPr>
          <w:lang w:val="en-US"/>
        </w:rPr>
        <w:t xml:space="preserve">reference-class forecasting, assessment of investment projects, mathematics-based methods </w:t>
      </w:r>
    </w:p>
    <w:p w:rsidR="00BE0B33" w:rsidRPr="007B21A1" w:rsidRDefault="00BE0B33" w:rsidP="00646402">
      <w:pPr>
        <w:rPr>
          <w:lang w:val="en-US"/>
        </w:rPr>
      </w:pPr>
    </w:p>
    <w:p w:rsidR="007F578E" w:rsidRPr="00EF6355" w:rsidRDefault="007F578E" w:rsidP="00646402">
      <w:r w:rsidRPr="00616035">
        <w:t>С точки зрения финансирования инвестиционных проектов, любая их оценка прин</w:t>
      </w:r>
      <w:r w:rsidRPr="00616035">
        <w:t>и</w:t>
      </w:r>
      <w:r w:rsidRPr="00616035">
        <w:t>мает во внимание два основных фактора: планируемые в результате реализации денежные потоки, а также соотношение риск-доходность проекта. Таким образом, любой крупный и</w:t>
      </w:r>
      <w:r w:rsidRPr="00616035">
        <w:t>н</w:t>
      </w:r>
      <w:r w:rsidRPr="00616035">
        <w:t>вестиционный проект является капиталоемким, включая в себя материальные активы, кот</w:t>
      </w:r>
      <w:r w:rsidRPr="00616035">
        <w:t>о</w:t>
      </w:r>
      <w:r w:rsidRPr="00616035">
        <w:t>рые генерируют долгосрочные денежные потоки и требуют поддержания работоспособн</w:t>
      </w:r>
      <w:r w:rsidRPr="00616035">
        <w:t>о</w:t>
      </w:r>
      <w:r w:rsidRPr="00616035">
        <w:t>сти.</w:t>
      </w:r>
      <w:r w:rsidR="00EF6355">
        <w:t xml:space="preserve"> </w:t>
      </w:r>
      <w:r w:rsidR="00EF6355" w:rsidRPr="00BC6BFA">
        <w:t>[1]</w:t>
      </w:r>
    </w:p>
    <w:p w:rsidR="007F578E" w:rsidRPr="00616035" w:rsidRDefault="007F578E" w:rsidP="00646402">
      <w:r w:rsidRPr="00616035">
        <w:t>С точки зрения инвестиционной деятельности компании «Ростелеком» одной из кл</w:t>
      </w:r>
      <w:r w:rsidRPr="00616035">
        <w:t>ю</w:t>
      </w:r>
      <w:r w:rsidRPr="00616035">
        <w:t>чевых задач специалистов Коммерческого блока является оценка инициатив региональных филиалов, направленных на повышение качества услуг, технологическое развитие и усил</w:t>
      </w:r>
      <w:r w:rsidRPr="00616035">
        <w:t>е</w:t>
      </w:r>
      <w:r w:rsidRPr="00616035">
        <w:t>ние позиций компании на рынке.</w:t>
      </w:r>
    </w:p>
    <w:p w:rsidR="009056BF" w:rsidRPr="00616035" w:rsidRDefault="009056BF" w:rsidP="00646402">
      <w:r w:rsidRPr="00616035">
        <w:t xml:space="preserve">Традиционные методы оценки инвестиционной привлекательности проекта включают в себя расчета таких показателей, как чистый дисконтированный доход (ЧДД, </w:t>
      </w:r>
      <w:r w:rsidRPr="00616035">
        <w:rPr>
          <w:i/>
        </w:rPr>
        <w:t>англ</w:t>
      </w:r>
      <w:r w:rsidRPr="00616035">
        <w:t xml:space="preserve">. </w:t>
      </w:r>
      <w:r w:rsidRPr="00616035">
        <w:rPr>
          <w:lang w:val="en-US"/>
        </w:rPr>
        <w:t>Net</w:t>
      </w:r>
      <w:r w:rsidRPr="00616035">
        <w:t xml:space="preserve"> </w:t>
      </w:r>
      <w:r w:rsidRPr="00616035">
        <w:rPr>
          <w:lang w:val="en-US"/>
        </w:rPr>
        <w:t>Pr</w:t>
      </w:r>
      <w:r w:rsidRPr="00616035">
        <w:rPr>
          <w:lang w:val="en-US"/>
        </w:rPr>
        <w:t>e</w:t>
      </w:r>
      <w:r w:rsidRPr="00616035">
        <w:rPr>
          <w:lang w:val="en-US"/>
        </w:rPr>
        <w:t>sent</w:t>
      </w:r>
      <w:r w:rsidRPr="00616035">
        <w:t xml:space="preserve"> </w:t>
      </w:r>
      <w:r w:rsidRPr="00616035">
        <w:rPr>
          <w:lang w:val="en-US"/>
        </w:rPr>
        <w:t>Value</w:t>
      </w:r>
      <w:r w:rsidRPr="00616035">
        <w:t xml:space="preserve">, </w:t>
      </w:r>
      <w:r w:rsidRPr="00616035">
        <w:rPr>
          <w:lang w:val="en-US"/>
        </w:rPr>
        <w:t>NPV</w:t>
      </w:r>
      <w:r w:rsidRPr="00616035">
        <w:t>), окупаемости инвестиций (</w:t>
      </w:r>
      <w:r w:rsidRPr="00616035">
        <w:rPr>
          <w:i/>
        </w:rPr>
        <w:t>англ</w:t>
      </w:r>
      <w:r w:rsidRPr="00616035">
        <w:t xml:space="preserve">. </w:t>
      </w:r>
      <w:r w:rsidRPr="00616035">
        <w:rPr>
          <w:lang w:val="en-US"/>
        </w:rPr>
        <w:t>Return</w:t>
      </w:r>
      <w:r w:rsidRPr="00616035">
        <w:t xml:space="preserve"> </w:t>
      </w:r>
      <w:r w:rsidRPr="00616035">
        <w:rPr>
          <w:lang w:val="en-US"/>
        </w:rPr>
        <w:t>on</w:t>
      </w:r>
      <w:r w:rsidRPr="00616035">
        <w:t xml:space="preserve"> </w:t>
      </w:r>
      <w:r w:rsidRPr="00616035">
        <w:rPr>
          <w:lang w:val="en-US"/>
        </w:rPr>
        <w:t>Investment</w:t>
      </w:r>
      <w:r w:rsidRPr="00616035">
        <w:t xml:space="preserve">, </w:t>
      </w:r>
      <w:r w:rsidRPr="00616035">
        <w:rPr>
          <w:lang w:val="en-US"/>
        </w:rPr>
        <w:t>ROI</w:t>
      </w:r>
      <w:r w:rsidRPr="00616035">
        <w:t>), срок окупаем</w:t>
      </w:r>
      <w:r w:rsidRPr="00616035">
        <w:t>о</w:t>
      </w:r>
      <w:r w:rsidRPr="00616035">
        <w:t>сти, индекс прибыльности (</w:t>
      </w:r>
      <w:r w:rsidRPr="00616035">
        <w:rPr>
          <w:i/>
        </w:rPr>
        <w:t>англ</w:t>
      </w:r>
      <w:r w:rsidRPr="00616035">
        <w:t xml:space="preserve">. </w:t>
      </w:r>
      <w:r w:rsidRPr="00616035">
        <w:rPr>
          <w:lang w:val="en-US"/>
        </w:rPr>
        <w:t xml:space="preserve">Profitability Index, PI), </w:t>
      </w:r>
      <w:r w:rsidRPr="00616035">
        <w:t>внутреннюю</w:t>
      </w:r>
      <w:r w:rsidRPr="00616035">
        <w:rPr>
          <w:lang w:val="en-US"/>
        </w:rPr>
        <w:t xml:space="preserve"> </w:t>
      </w:r>
      <w:r w:rsidRPr="00616035">
        <w:t>норму</w:t>
      </w:r>
      <w:r w:rsidRPr="00616035">
        <w:rPr>
          <w:lang w:val="en-US"/>
        </w:rPr>
        <w:t xml:space="preserve"> </w:t>
      </w:r>
      <w:r w:rsidRPr="00616035">
        <w:t>доходности</w:t>
      </w:r>
      <w:r w:rsidRPr="00616035">
        <w:rPr>
          <w:lang w:val="en-US"/>
        </w:rPr>
        <w:t xml:space="preserve"> (</w:t>
      </w:r>
      <w:r w:rsidRPr="00616035">
        <w:t>ВНД</w:t>
      </w:r>
      <w:r w:rsidRPr="00616035">
        <w:rPr>
          <w:lang w:val="en-US"/>
        </w:rPr>
        <w:t xml:space="preserve">, </w:t>
      </w:r>
      <w:proofErr w:type="spellStart"/>
      <w:r w:rsidRPr="00616035">
        <w:rPr>
          <w:i/>
        </w:rPr>
        <w:t>англ</w:t>
      </w:r>
      <w:proofErr w:type="spellEnd"/>
      <w:r w:rsidRPr="00616035">
        <w:rPr>
          <w:lang w:val="en-US"/>
        </w:rPr>
        <w:t xml:space="preserve">. Internal Rate of Return, IRR). </w:t>
      </w:r>
      <w:proofErr w:type="gramStart"/>
      <w:r w:rsidRPr="00616035">
        <w:t>Однако значения данных показателей рассчитыв</w:t>
      </w:r>
      <w:r w:rsidRPr="00616035">
        <w:t>а</w:t>
      </w:r>
      <w:r w:rsidRPr="00616035">
        <w:lastRenderedPageBreak/>
        <w:t>ются на основе денежных потоков и инвестиционных вложений, которые в свою очередь прогнозируются на базе прогнозов таких показателей, как (в случае ПАО «Ростелеком) аб</w:t>
      </w:r>
      <w:r w:rsidRPr="00616035">
        <w:t>о</w:t>
      </w:r>
      <w:r w:rsidRPr="00616035">
        <w:t>нентская база, процент оттока (клиентов, отказавшихся от услуг компании), процент по</w:t>
      </w:r>
      <w:r w:rsidRPr="00616035">
        <w:t>д</w:t>
      </w:r>
      <w:r w:rsidRPr="00616035">
        <w:t>ключений (клиентов, ставших таковыми в результате реализации рассматриваемого прое</w:t>
      </w:r>
      <w:r w:rsidRPr="00616035">
        <w:t>к</w:t>
      </w:r>
      <w:r w:rsidRPr="00616035">
        <w:t xml:space="preserve">та), </w:t>
      </w:r>
      <w:r w:rsidRPr="00616035">
        <w:rPr>
          <w:lang w:val="en-US"/>
        </w:rPr>
        <w:t>ARPU</w:t>
      </w:r>
      <w:r w:rsidRPr="00616035">
        <w:t xml:space="preserve"> (средняя величина дохода в пересчете на одного абонента), доля компании на рынке, процент</w:t>
      </w:r>
      <w:proofErr w:type="gramEnd"/>
      <w:r w:rsidRPr="00616035">
        <w:t xml:space="preserve"> проникновения.</w:t>
      </w:r>
    </w:p>
    <w:p w:rsidR="009056BF" w:rsidRPr="00616035" w:rsidRDefault="009056BF" w:rsidP="00646402">
      <w:r w:rsidRPr="00616035">
        <w:t xml:space="preserve">В результате точный расчет результатов инвестиций </w:t>
      </w:r>
      <w:proofErr w:type="gramStart"/>
      <w:r w:rsidRPr="00616035">
        <w:t>в</w:t>
      </w:r>
      <w:proofErr w:type="gramEnd"/>
      <w:r w:rsidRPr="00616035">
        <w:t xml:space="preserve"> какой-либо сводится к ко</w:t>
      </w:r>
      <w:r w:rsidRPr="00616035">
        <w:t>р</w:t>
      </w:r>
      <w:r w:rsidRPr="00616035">
        <w:t>ректной оценке прогнозных показателей, приведенных выше.</w:t>
      </w:r>
    </w:p>
    <w:p w:rsidR="009056BF" w:rsidRPr="00616035" w:rsidRDefault="009056BF" w:rsidP="00646402">
      <w:r w:rsidRPr="00616035">
        <w:t>Данная методика обладает рядом недостатков:</w:t>
      </w:r>
    </w:p>
    <w:p w:rsidR="009056BF" w:rsidRPr="00616035" w:rsidRDefault="009056BF" w:rsidP="00646402">
      <w:pPr>
        <w:pStyle w:val="a3"/>
        <w:numPr>
          <w:ilvl w:val="0"/>
          <w:numId w:val="1"/>
        </w:numPr>
      </w:pPr>
      <w:r w:rsidRPr="00616035">
        <w:t>При прогнозировании показателей для географически малых, удаленных или м</w:t>
      </w:r>
      <w:r w:rsidRPr="00616035">
        <w:t>а</w:t>
      </w:r>
      <w:r w:rsidRPr="00616035">
        <w:t>лозаселенных регионов и/или населенных пунктов нехватка точной информации о рынке, вынуждает выполнять расчет на основе усредненных данных по более крупному региону;</w:t>
      </w:r>
    </w:p>
    <w:p w:rsidR="009056BF" w:rsidRPr="00616035" w:rsidRDefault="009056BF" w:rsidP="00646402">
      <w:pPr>
        <w:pStyle w:val="a3"/>
        <w:numPr>
          <w:ilvl w:val="0"/>
          <w:numId w:val="1"/>
        </w:numPr>
      </w:pPr>
      <w:r w:rsidRPr="00616035">
        <w:t>В различных системах учета абонентского доступа неизбежно присутствуют ошибки при внесении и учете подключенных услуг/абонентов. Однако при уменьшении доли ошибочных данных в общем кластере степень ошибки прогноза может быть оценена как незначимая;</w:t>
      </w:r>
    </w:p>
    <w:p w:rsidR="009056BF" w:rsidRPr="00616035" w:rsidRDefault="009056BF" w:rsidP="00646402">
      <w:pPr>
        <w:pStyle w:val="a3"/>
        <w:numPr>
          <w:ilvl w:val="0"/>
          <w:numId w:val="1"/>
        </w:numPr>
      </w:pPr>
      <w:r w:rsidRPr="00616035">
        <w:t>Невозможно спрогнозировать радикальные изменения во внешней среде (полит</w:t>
      </w:r>
      <w:r w:rsidRPr="00616035">
        <w:t>и</w:t>
      </w:r>
      <w:r w:rsidRPr="00616035">
        <w:t>ческие, социальные, экономические, природные явления);</w:t>
      </w:r>
    </w:p>
    <w:p w:rsidR="009056BF" w:rsidRPr="00616035" w:rsidRDefault="009056BF" w:rsidP="00646402">
      <w:pPr>
        <w:pStyle w:val="a3"/>
        <w:numPr>
          <w:ilvl w:val="0"/>
          <w:numId w:val="1"/>
        </w:numPr>
      </w:pPr>
      <w:r w:rsidRPr="00616035">
        <w:t>Оценка различных экспертов может значительно отличаться, в зависимости от личностных и профессиональных качеств, уровня компетенции, а также степени осведомленности о бизнес-процессах и будущих событиях;</w:t>
      </w:r>
    </w:p>
    <w:p w:rsidR="007E3D0A" w:rsidRPr="00616035" w:rsidRDefault="007E3D0A" w:rsidP="00646402">
      <w:r w:rsidRPr="00616035">
        <w:t>Очевидно, что среди наиболее существенных проблем, с которыми сталкиваются ра</w:t>
      </w:r>
      <w:r w:rsidRPr="00616035">
        <w:t>з</w:t>
      </w:r>
      <w:r w:rsidRPr="00616035">
        <w:t>работчики и аналитики на стадии планирования проектов, является сложность точного пр</w:t>
      </w:r>
      <w:r w:rsidRPr="00616035">
        <w:t>о</w:t>
      </w:r>
      <w:r w:rsidRPr="00616035">
        <w:t>гнозирования их результатов. В число рисков входят такие события, как перерасход запл</w:t>
      </w:r>
      <w:r w:rsidRPr="00616035">
        <w:t>а</w:t>
      </w:r>
      <w:r w:rsidRPr="00616035">
        <w:t>нированных средств, провал по планируемой выручке, увеличенный фактический срок ок</w:t>
      </w:r>
      <w:r w:rsidRPr="00616035">
        <w:t>у</w:t>
      </w:r>
      <w:r w:rsidRPr="00616035">
        <w:t>паемости проекта, неконтролируемые изменения масштабов проекта. Сокращение ошибок в процессе принятия решений в условиях высокой неопределенности является одной из гла</w:t>
      </w:r>
      <w:r w:rsidRPr="00616035">
        <w:t>в</w:t>
      </w:r>
      <w:r w:rsidRPr="00616035">
        <w:t>ных задач в рамках стратегии реализации инвестиционных проектов.</w:t>
      </w:r>
    </w:p>
    <w:p w:rsidR="007E3D0A" w:rsidRPr="00616035" w:rsidRDefault="007E3D0A" w:rsidP="00646402">
      <w:r w:rsidRPr="00616035">
        <w:t>Для понимания причин появления данных ошибок необходимо обратиться к природе процесса оценки любого крупного проекта, а также тенденциях, существующих в рамках данного процесса. Следует понимать, что подавляющее большинство анализов базируется на допущении, что существуют четко определенные прогнозные значения, которые использ</w:t>
      </w:r>
      <w:r w:rsidRPr="00616035">
        <w:t>у</w:t>
      </w:r>
      <w:r w:rsidRPr="00616035">
        <w:t>ются для принятия конечного решения. Однако на практике, для того, чтобы прийти к да</w:t>
      </w:r>
      <w:r w:rsidRPr="00616035">
        <w:t>н</w:t>
      </w:r>
      <w:r w:rsidRPr="00616035">
        <w:t>ным значениям, оценка проекта проходит несколько этапов, на каждом из которых увелич</w:t>
      </w:r>
      <w:r w:rsidRPr="00616035">
        <w:t>и</w:t>
      </w:r>
      <w:r w:rsidRPr="00616035">
        <w:lastRenderedPageBreak/>
        <w:t>вается степень детализации проекта – укрупненные оценки корректируются, уточняются, п</w:t>
      </w:r>
      <w:r w:rsidRPr="00616035">
        <w:t>о</w:t>
      </w:r>
      <w:r w:rsidRPr="00616035">
        <w:t>является дополнительная информация, что снова приводит к изменению прогноза. Даже п</w:t>
      </w:r>
      <w:r w:rsidRPr="00616035">
        <w:t>о</w:t>
      </w:r>
      <w:r w:rsidRPr="00616035">
        <w:t>сле принятия финального решения на протяжении реализации проекта появляется новая, а</w:t>
      </w:r>
      <w:r w:rsidRPr="00616035">
        <w:t>к</w:t>
      </w:r>
      <w:r w:rsidRPr="00616035">
        <w:t>туализированная информация, которая изменяет реалии проекта.</w:t>
      </w:r>
    </w:p>
    <w:p w:rsidR="007E3D0A" w:rsidRPr="00616035" w:rsidRDefault="007E3D0A" w:rsidP="00646402">
      <w:r w:rsidRPr="00616035">
        <w:t>Причины неточного прогнозирования могут быть техническими: ошибочные (нето</w:t>
      </w:r>
      <w:r w:rsidRPr="00616035">
        <w:t>ч</w:t>
      </w:r>
      <w:r w:rsidRPr="00616035">
        <w:t>ные либо в корне неверные) исторические данные, несовершенные методы, некорректно п</w:t>
      </w:r>
      <w:r w:rsidRPr="00616035">
        <w:t>о</w:t>
      </w:r>
      <w:r w:rsidRPr="00616035">
        <w:t>добранные модели – все это может приводить к кардинальному изменению получаемого анализа, а также значительному отклонению от реальности. Помимо прочего, крупные пр</w:t>
      </w:r>
      <w:r w:rsidRPr="00616035">
        <w:t>о</w:t>
      </w:r>
      <w:r w:rsidRPr="00616035">
        <w:t>екты, особенно связанные со строительством сетей телекоммуникаций (в случае ПАО «Р</w:t>
      </w:r>
      <w:r w:rsidRPr="00616035">
        <w:t>о</w:t>
      </w:r>
      <w:r w:rsidRPr="00616035">
        <w:t>стелеком»), являются технически сложными, особенно при использовании новых, недост</w:t>
      </w:r>
      <w:r w:rsidRPr="00616035">
        <w:t>а</w:t>
      </w:r>
      <w:r w:rsidRPr="00616035">
        <w:t>точно отлаженных технологий (например, начало использования технологии GPON при по</w:t>
      </w:r>
      <w:r w:rsidRPr="00616035">
        <w:t>д</w:t>
      </w:r>
      <w:r w:rsidRPr="00616035">
        <w:t>ключении сетей широкополосного доступа в 2013 г.). Полученные неопределенности прив</w:t>
      </w:r>
      <w:r w:rsidRPr="00616035">
        <w:t>о</w:t>
      </w:r>
      <w:r w:rsidRPr="00616035">
        <w:t>дят к существенным рискам, которые присущи высокотехнологичным объектам.</w:t>
      </w:r>
    </w:p>
    <w:p w:rsidR="007E3D0A" w:rsidRPr="00616035" w:rsidRDefault="007E3D0A" w:rsidP="00646402">
      <w:proofErr w:type="gramStart"/>
      <w:r w:rsidRPr="00616035">
        <w:t>Помимо очевидных политических (характерных для проектов реализации госуда</w:t>
      </w:r>
      <w:r w:rsidRPr="00616035">
        <w:t>р</w:t>
      </w:r>
      <w:r w:rsidRPr="00616035">
        <w:t>ственных объектов) и экономических (связанных с постоянно меняющейся экономической средой) причин некорректного прогнозирования, прогнозам также свойственны психолог</w:t>
      </w:r>
      <w:r w:rsidRPr="00616035">
        <w:t>и</w:t>
      </w:r>
      <w:r w:rsidRPr="00616035">
        <w:t>ческие риски, связанные с ошибками планирования и человеческим фактором (в частности, склонностью к оптимизму): при формировании прогноза к работе зачастую привлекаются эксперты, в том числе из штата сотрудников компании, обладающие опытом и знанием, сп</w:t>
      </w:r>
      <w:r w:rsidRPr="00616035">
        <w:t>о</w:t>
      </w:r>
      <w:r w:rsidRPr="00616035">
        <w:t>собные оценить наиболее вероятные</w:t>
      </w:r>
      <w:proofErr w:type="gramEnd"/>
      <w:r w:rsidRPr="00616035">
        <w:t>, по их мнению, исходы. В таком случае неизбежно пр</w:t>
      </w:r>
      <w:r w:rsidRPr="00616035">
        <w:t>о</w:t>
      </w:r>
      <w:r w:rsidRPr="00616035">
        <w:t>явление человеческого фактора: в силу различных причин вероятно формирование либо чрезмерно оптимистичного прогноза, либо прогноза с умышленно более благоприятными по сравнению с действительностью результатами.</w:t>
      </w:r>
    </w:p>
    <w:p w:rsidR="009056BF" w:rsidRPr="00616035" w:rsidRDefault="009056BF" w:rsidP="00646402">
      <w:r w:rsidRPr="00616035">
        <w:t xml:space="preserve">В </w:t>
      </w:r>
      <w:proofErr w:type="gramStart"/>
      <w:r w:rsidRPr="00616035">
        <w:t>данном</w:t>
      </w:r>
      <w:proofErr w:type="gramEnd"/>
      <w:r w:rsidRPr="00616035">
        <w:t xml:space="preserve"> работе, помимо изолированного рассмотрения каждого конкретного прое</w:t>
      </w:r>
      <w:r w:rsidRPr="00616035">
        <w:t>к</w:t>
      </w:r>
      <w:r w:rsidRPr="00616035">
        <w:t>та, предлагается использовать метод сравнительного прогнозирования, подразумевающий сопоставление прогнозируемых результатов оцениваемого проекта с уже завершенными проектами.</w:t>
      </w:r>
    </w:p>
    <w:p w:rsidR="009056BF" w:rsidRPr="00616035" w:rsidRDefault="009056BF" w:rsidP="00646402">
      <w:r w:rsidRPr="00616035">
        <w:t>Теоретическая база метода сравнительного прогнозирования (</w:t>
      </w:r>
      <w:r w:rsidRPr="00616035">
        <w:rPr>
          <w:i/>
        </w:rPr>
        <w:t xml:space="preserve">англ. </w:t>
      </w:r>
      <w:r w:rsidRPr="00616035">
        <w:rPr>
          <w:lang w:val="en-US"/>
        </w:rPr>
        <w:t>Reference</w:t>
      </w:r>
      <w:r w:rsidRPr="00616035">
        <w:t xml:space="preserve"> </w:t>
      </w:r>
      <w:r w:rsidRPr="00616035">
        <w:rPr>
          <w:lang w:val="en-US"/>
        </w:rPr>
        <w:t>Class</w:t>
      </w:r>
      <w:r w:rsidRPr="00616035">
        <w:t xml:space="preserve"> </w:t>
      </w:r>
      <w:r w:rsidRPr="00616035">
        <w:rPr>
          <w:lang w:val="en-US"/>
        </w:rPr>
        <w:t>Forecasting</w:t>
      </w:r>
      <w:r w:rsidRPr="00616035">
        <w:t>, прогнозирование путем сравнения с эталонной группой) была разработана изр</w:t>
      </w:r>
      <w:r w:rsidRPr="00616035">
        <w:t>а</w:t>
      </w:r>
      <w:r w:rsidRPr="00616035">
        <w:t xml:space="preserve">ильскими учеными Даниэлем </w:t>
      </w:r>
      <w:proofErr w:type="spellStart"/>
      <w:r w:rsidRPr="00616035">
        <w:t>Канеманом</w:t>
      </w:r>
      <w:proofErr w:type="spellEnd"/>
      <w:r w:rsidRPr="00616035">
        <w:t xml:space="preserve"> (1934), обладателем Нобелевской премии по эк</w:t>
      </w:r>
      <w:r w:rsidRPr="00616035">
        <w:t>о</w:t>
      </w:r>
      <w:r w:rsidRPr="00616035">
        <w:t xml:space="preserve">номике 2002 года, и </w:t>
      </w:r>
      <w:proofErr w:type="spellStart"/>
      <w:r w:rsidRPr="00616035">
        <w:t>Амосом</w:t>
      </w:r>
      <w:proofErr w:type="spellEnd"/>
      <w:r w:rsidRPr="00616035">
        <w:t xml:space="preserve"> </w:t>
      </w:r>
      <w:proofErr w:type="spellStart"/>
      <w:r w:rsidRPr="00616035">
        <w:t>Тверски</w:t>
      </w:r>
      <w:proofErr w:type="spellEnd"/>
      <w:r w:rsidRPr="00616035">
        <w:t xml:space="preserve"> (1937-1996), работавшими в сфере экономической науки и психологии. Разработка метода проводилась базе теорий планирования и принятия решений в условиях неопределенности [2]. В процессе исследовательской деятельности </w:t>
      </w:r>
      <w:proofErr w:type="spellStart"/>
      <w:r w:rsidRPr="00616035">
        <w:t>Канеман</w:t>
      </w:r>
      <w:proofErr w:type="spellEnd"/>
      <w:r w:rsidRPr="00616035">
        <w:t xml:space="preserve"> и </w:t>
      </w:r>
      <w:proofErr w:type="spellStart"/>
      <w:r w:rsidRPr="00616035">
        <w:t>Тверски</w:t>
      </w:r>
      <w:proofErr w:type="spellEnd"/>
      <w:r w:rsidRPr="00616035">
        <w:t xml:space="preserve"> обнаружили, что аналитики систематически недооценивают такие пок</w:t>
      </w:r>
      <w:r w:rsidRPr="00616035">
        <w:t>а</w:t>
      </w:r>
      <w:r w:rsidRPr="00616035">
        <w:t xml:space="preserve">затели, как затраты, сроки завершения проектов, возможные риски, а также переоценивают </w:t>
      </w:r>
      <w:r w:rsidRPr="00616035">
        <w:lastRenderedPageBreak/>
        <w:t xml:space="preserve">влияние положительных факторов на результат. </w:t>
      </w:r>
      <w:proofErr w:type="spellStart"/>
      <w:r w:rsidRPr="00616035">
        <w:t>Канеман</w:t>
      </w:r>
      <w:proofErr w:type="spellEnd"/>
      <w:r w:rsidRPr="00616035">
        <w:t xml:space="preserve"> утверждал, что подобная ошибо</w:t>
      </w:r>
      <w:r w:rsidRPr="00616035">
        <w:t>ч</w:t>
      </w:r>
      <w:r w:rsidRPr="00616035">
        <w:t>ность проистекает из тенденции людей, оценивающих проект, полагаться на «взгляд изну</w:t>
      </w:r>
      <w:r w:rsidRPr="00616035">
        <w:t>т</w:t>
      </w:r>
      <w:r w:rsidRPr="00616035">
        <w:t>ри», то есть концентрировать свое внимание исключительно на составляющих конкретного проекта. Решением данной проблемы он называл использование «взгляда со стороны», по</w:t>
      </w:r>
      <w:r w:rsidRPr="00616035">
        <w:t>д</w:t>
      </w:r>
      <w:r w:rsidRPr="00616035">
        <w:t>разумевая под этим рассмотрение уже завершившихся проектов схожего типа и использов</w:t>
      </w:r>
      <w:r w:rsidRPr="00616035">
        <w:t>а</w:t>
      </w:r>
      <w:r w:rsidRPr="00616035">
        <w:t>ние данных по распределению их результатов с учетом стандартных статистических инстр</w:t>
      </w:r>
      <w:r w:rsidRPr="00616035">
        <w:t>у</w:t>
      </w:r>
      <w:r w:rsidRPr="00616035">
        <w:t>ментов [3].</w:t>
      </w:r>
    </w:p>
    <w:p w:rsidR="009056BF" w:rsidRPr="00616035" w:rsidRDefault="009056BF" w:rsidP="00646402">
      <w:r w:rsidRPr="00616035">
        <w:t xml:space="preserve">Несмотря на наличие теоретической базы метода, разработанной </w:t>
      </w:r>
      <w:proofErr w:type="spellStart"/>
      <w:r w:rsidRPr="00616035">
        <w:t>Канеманом</w:t>
      </w:r>
      <w:proofErr w:type="spellEnd"/>
      <w:r w:rsidRPr="00616035">
        <w:t xml:space="preserve"> и </w:t>
      </w:r>
      <w:proofErr w:type="spellStart"/>
      <w:r w:rsidRPr="00616035">
        <w:t>Тве</w:t>
      </w:r>
      <w:r w:rsidRPr="00616035">
        <w:t>р</w:t>
      </w:r>
      <w:r w:rsidRPr="00616035">
        <w:t>ски</w:t>
      </w:r>
      <w:proofErr w:type="spellEnd"/>
      <w:r w:rsidRPr="00616035">
        <w:t xml:space="preserve"> во второй половине ХХ века, первый случай практического применения сравнительного прогнозирования произошел лишь в 2004 г. в Соединенном Королевстве. Правительством Великобритании проводилась оценка затрат на расширение трамвайной линии в Эдинбурге (Шотландия), расчетная смета подрядчика указывала расходы в размере 255 </w:t>
      </w:r>
      <w:proofErr w:type="gramStart"/>
      <w:r w:rsidRPr="00616035">
        <w:t>млн</w:t>
      </w:r>
      <w:proofErr w:type="gramEnd"/>
      <w:r w:rsidRPr="00616035">
        <w:t xml:space="preserve"> фунтов стерлингов, тогда как прогнозная цифра, выполненная на базе сравнения с аналогичными проектами, составляла 320 млн фунтов стерлингов. Фактические данные по проекту на 2011 г. показали, что затраты на незавершенный проект превысила 1 </w:t>
      </w:r>
      <w:proofErr w:type="gramStart"/>
      <w:r w:rsidRPr="00616035">
        <w:t>млрд</w:t>
      </w:r>
      <w:proofErr w:type="gramEnd"/>
      <w:r w:rsidRPr="00616035">
        <w:t xml:space="preserve"> фунтов стерлингов [4].</w:t>
      </w:r>
    </w:p>
    <w:p w:rsidR="009056BF" w:rsidRPr="00616035" w:rsidRDefault="009056BF" w:rsidP="00646402">
      <w:r w:rsidRPr="00616035">
        <w:t xml:space="preserve">После оценки проекта расширения </w:t>
      </w:r>
      <w:proofErr w:type="spellStart"/>
      <w:r w:rsidRPr="00616035">
        <w:t>эдинбургских</w:t>
      </w:r>
      <w:proofErr w:type="spellEnd"/>
      <w:r w:rsidRPr="00616035">
        <w:t xml:space="preserve"> трамвайных линий метод сравн</w:t>
      </w:r>
      <w:r w:rsidRPr="00616035">
        <w:t>и</w:t>
      </w:r>
      <w:r w:rsidRPr="00616035">
        <w:t>тельного прогнозирования также использовался в иных проектах британского правительства. Также, с 2004 г. данный метод в различных формах применялся в</w:t>
      </w:r>
      <w:r w:rsidR="00EF6355">
        <w:t xml:space="preserve"> Нидерландах, Дании и Швейцарии</w:t>
      </w:r>
      <w:r w:rsidRPr="00616035">
        <w:t>.</w:t>
      </w:r>
    </w:p>
    <w:p w:rsidR="009056BF" w:rsidRPr="00616035" w:rsidRDefault="009056BF" w:rsidP="00646402">
      <w:r w:rsidRPr="00616035">
        <w:t xml:space="preserve">Один из крупных и комплексных анализов прогнозных и фактических результатов проекта проводился датским экономистом университета Оксфорда </w:t>
      </w:r>
      <w:proofErr w:type="spellStart"/>
      <w:r w:rsidRPr="00616035">
        <w:t>Бентом</w:t>
      </w:r>
      <w:proofErr w:type="spellEnd"/>
      <w:r w:rsidRPr="00616035">
        <w:t xml:space="preserve"> </w:t>
      </w:r>
      <w:proofErr w:type="spellStart"/>
      <w:r w:rsidRPr="00616035">
        <w:t>Фливбергом</w:t>
      </w:r>
      <w:proofErr w:type="spellEnd"/>
      <w:r w:rsidRPr="00616035">
        <w:t>. Данный анализ затрагивал транспортные инфраструктурные проекты, в рамках него были рассмотрены и оценены более 200 транспортных проектов в 20 развитых и развивающихся странах на предмет превышения плановых затрат фактическими</w:t>
      </w:r>
      <w:r w:rsidR="005F403F" w:rsidRPr="005F403F">
        <w:t xml:space="preserve"> </w:t>
      </w:r>
      <w:r w:rsidR="005F403F">
        <w:t>[5]</w:t>
      </w:r>
      <w:r w:rsidRPr="00616035">
        <w:t>.</w:t>
      </w:r>
    </w:p>
    <w:p w:rsidR="009056BF" w:rsidRPr="00616035" w:rsidRDefault="009056BF" w:rsidP="00646402">
      <w:r w:rsidRPr="00616035">
        <w:t>В исследовании были отмечены следующие факты относительно превышения факт</w:t>
      </w:r>
      <w:r w:rsidRPr="00616035">
        <w:t>и</w:t>
      </w:r>
      <w:r w:rsidRPr="00616035">
        <w:t xml:space="preserve">ческих затрат </w:t>
      </w:r>
      <w:proofErr w:type="gramStart"/>
      <w:r w:rsidRPr="00616035">
        <w:t>над</w:t>
      </w:r>
      <w:proofErr w:type="gramEnd"/>
      <w:r w:rsidRPr="00616035">
        <w:t xml:space="preserve"> прогнозными:</w:t>
      </w:r>
    </w:p>
    <w:p w:rsidR="009056BF" w:rsidRPr="00616035" w:rsidRDefault="009056BF" w:rsidP="00646402">
      <w:pPr>
        <w:pStyle w:val="a3"/>
        <w:numPr>
          <w:ilvl w:val="0"/>
          <w:numId w:val="3"/>
        </w:numPr>
      </w:pPr>
      <w:r w:rsidRPr="00616035">
        <w:t>В 9 из 10 проектов был существенный перерасход средств;</w:t>
      </w:r>
    </w:p>
    <w:p w:rsidR="009056BF" w:rsidRPr="00616035" w:rsidRDefault="009056BF" w:rsidP="00646402">
      <w:pPr>
        <w:pStyle w:val="a3"/>
        <w:numPr>
          <w:ilvl w:val="0"/>
          <w:numId w:val="3"/>
        </w:numPr>
      </w:pPr>
      <w:r w:rsidRPr="00616035">
        <w:t>Перерасход средств был характерен для всех 20 рассматриваемых стран на 5 континентах;</w:t>
      </w:r>
    </w:p>
    <w:p w:rsidR="009056BF" w:rsidRPr="00616035" w:rsidRDefault="009056BF" w:rsidP="00646402">
      <w:pPr>
        <w:pStyle w:val="a3"/>
        <w:numPr>
          <w:ilvl w:val="0"/>
          <w:numId w:val="3"/>
        </w:numPr>
      </w:pPr>
      <w:r w:rsidRPr="00616035">
        <w:t>Перерасход средств наблюдался на протяжении 70-летнего анализируемого п</w:t>
      </w:r>
      <w:r w:rsidRPr="00616035">
        <w:t>е</w:t>
      </w:r>
      <w:r w:rsidRPr="00616035">
        <w:t>риода, точность прогнозов не улучшалась со временем.</w:t>
      </w:r>
    </w:p>
    <w:p w:rsidR="009056BF" w:rsidRPr="00616035" w:rsidRDefault="009056BF" w:rsidP="00646402">
      <w:r w:rsidRPr="00616035">
        <w:t xml:space="preserve">Помимо работы </w:t>
      </w:r>
      <w:proofErr w:type="spellStart"/>
      <w:r w:rsidRPr="00616035">
        <w:t>Фливберга</w:t>
      </w:r>
      <w:proofErr w:type="spellEnd"/>
      <w:r w:rsidRPr="00616035">
        <w:t>, были опубликованы другие исследования, общие выводы которых соответствуют анализу датского экономиста:</w:t>
      </w:r>
    </w:p>
    <w:p w:rsidR="009056BF" w:rsidRPr="00616035" w:rsidRDefault="009056BF" w:rsidP="00646402">
      <w:pPr>
        <w:pStyle w:val="a3"/>
        <w:numPr>
          <w:ilvl w:val="0"/>
          <w:numId w:val="4"/>
        </w:numPr>
      </w:pPr>
      <w:r w:rsidRPr="00616035">
        <w:lastRenderedPageBreak/>
        <w:t>Перерасход средств по 10 проанализированным железнодорожным проектам в США составил в среднем около 61%, при этом пасса</w:t>
      </w:r>
      <w:r w:rsidR="00EF6355">
        <w:t>жиропоток был переоц</w:t>
      </w:r>
      <w:r w:rsidR="00EF6355">
        <w:t>е</w:t>
      </w:r>
      <w:r w:rsidR="00EF6355">
        <w:t xml:space="preserve">нен на 65% </w:t>
      </w:r>
      <w:r w:rsidR="00EF6355" w:rsidRPr="00EF6355">
        <w:t>[</w:t>
      </w:r>
      <w:r w:rsidR="005F403F" w:rsidRPr="005F403F">
        <w:t>6</w:t>
      </w:r>
      <w:r w:rsidR="00EF6355" w:rsidRPr="00EF6355">
        <w:t>]</w:t>
      </w:r>
      <w:r w:rsidR="00EF6355">
        <w:t>;</w:t>
      </w:r>
    </w:p>
    <w:p w:rsidR="009056BF" w:rsidRPr="00616035" w:rsidRDefault="009056BF" w:rsidP="00646402">
      <w:pPr>
        <w:pStyle w:val="a3"/>
        <w:numPr>
          <w:ilvl w:val="0"/>
          <w:numId w:val="4"/>
        </w:numPr>
      </w:pPr>
      <w:r w:rsidRPr="00616035">
        <w:t>Перерасход средств по 620 проектам автомобильных дорог в Норвегии сост</w:t>
      </w:r>
      <w:r w:rsidRPr="00616035">
        <w:t>а</w:t>
      </w:r>
      <w:r w:rsidRPr="00616035">
        <w:t>вил 8%</w:t>
      </w:r>
      <w:r w:rsidR="00EF6355">
        <w:t xml:space="preserve"> </w:t>
      </w:r>
      <w:r w:rsidR="00EF6355" w:rsidRPr="00EF6355">
        <w:t>[</w:t>
      </w:r>
      <w:r w:rsidR="005F403F" w:rsidRPr="005F403F">
        <w:t>7</w:t>
      </w:r>
      <w:r w:rsidR="00EF6355" w:rsidRPr="00EF6355">
        <w:t>]</w:t>
      </w:r>
      <w:r w:rsidRPr="00616035">
        <w:t>;</w:t>
      </w:r>
    </w:p>
    <w:p w:rsidR="009056BF" w:rsidRPr="00616035" w:rsidRDefault="009056BF" w:rsidP="00646402">
      <w:pPr>
        <w:pStyle w:val="a3"/>
        <w:numPr>
          <w:ilvl w:val="0"/>
          <w:numId w:val="4"/>
        </w:numPr>
      </w:pPr>
      <w:r w:rsidRPr="00616035">
        <w:t>Средний уровень фактических доходов по отношению к плановым показателям в первый год открытия 26 платных автодорог в США составил 58,8%</w:t>
      </w:r>
      <w:r w:rsidR="00EF6355">
        <w:t xml:space="preserve"> [</w:t>
      </w:r>
      <w:r w:rsidR="005F403F">
        <w:t>8</w:t>
      </w:r>
      <w:r w:rsidR="005F403F" w:rsidRPr="00BB1EB1">
        <w:t>]</w:t>
      </w:r>
      <w:r w:rsidRPr="00616035">
        <w:t>;</w:t>
      </w:r>
    </w:p>
    <w:p w:rsidR="000F012C" w:rsidRDefault="000F012C" w:rsidP="00646402">
      <w:r w:rsidRPr="00616035">
        <w:t>Распределение случаев выхода за рамки бюджета</w:t>
      </w:r>
      <w:r w:rsidR="00D256FB" w:rsidRPr="00616035">
        <w:t xml:space="preserve">, полученное </w:t>
      </w:r>
      <w:proofErr w:type="spellStart"/>
      <w:r w:rsidR="00D256FB" w:rsidRPr="00616035">
        <w:t>Фливбергом</w:t>
      </w:r>
      <w:proofErr w:type="spellEnd"/>
      <w:r w:rsidR="00D256FB" w:rsidRPr="00616035">
        <w:t xml:space="preserve"> в процессе изучения инфраструктурных проектов, приведено ниже на примере автомобильных (рис. 1) и железных (рис. 2) дорог. Из них видно, что из проектов строительства автодорог лишь около 20% не превысили изначальные рамки бюджета, тогда как для железных дорог данный пок</w:t>
      </w:r>
      <w:r w:rsidR="00D256FB" w:rsidRPr="00616035">
        <w:t>а</w:t>
      </w:r>
      <w:r w:rsidR="00D256FB" w:rsidRPr="00616035">
        <w:t>затель составил меньше 20% от общего числа проектов.</w:t>
      </w:r>
    </w:p>
    <w:p w:rsidR="00B04C91" w:rsidRPr="00616035" w:rsidRDefault="00B04C91" w:rsidP="00646402"/>
    <w:p w:rsidR="000F012C" w:rsidRPr="00616035" w:rsidRDefault="000F012C" w:rsidP="00646402">
      <w:pPr>
        <w:ind w:firstLine="0"/>
        <w:jc w:val="center"/>
      </w:pPr>
      <w:r w:rsidRPr="00616035">
        <w:rPr>
          <w:noProof/>
          <w:lang w:eastAsia="ru-RU"/>
        </w:rPr>
        <w:drawing>
          <wp:inline distT="0" distB="0" distL="0" distR="0" wp14:anchorId="292064B4" wp14:editId="5AC41E89">
            <wp:extent cx="5934075" cy="3219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219450"/>
                    </a:xfrm>
                    <a:prstGeom prst="rect">
                      <a:avLst/>
                    </a:prstGeom>
                    <a:noFill/>
                    <a:ln>
                      <a:noFill/>
                    </a:ln>
                  </pic:spPr>
                </pic:pic>
              </a:graphicData>
            </a:graphic>
          </wp:inline>
        </w:drawing>
      </w:r>
    </w:p>
    <w:p w:rsidR="000F012C" w:rsidRPr="00646402" w:rsidRDefault="000F012C" w:rsidP="00646402">
      <w:pPr>
        <w:pStyle w:val="ab"/>
      </w:pPr>
      <w:r w:rsidRPr="00646402">
        <w:t>Рис</w:t>
      </w:r>
      <w:r w:rsidR="00E261DC" w:rsidRPr="00646402">
        <w:t>.</w:t>
      </w:r>
      <w:r w:rsidRPr="00646402">
        <w:t xml:space="preserve"> </w:t>
      </w:r>
      <w:r w:rsidR="00E261DC" w:rsidRPr="00646402">
        <w:t>1.</w:t>
      </w:r>
      <w:r w:rsidRPr="00646402">
        <w:t xml:space="preserve"> Распределение случаев перерасхода средств </w:t>
      </w:r>
      <w:r w:rsidR="00646402" w:rsidRPr="00646402">
        <w:br/>
      </w:r>
      <w:r w:rsidRPr="00646402">
        <w:t>на примере проектов строительства автодорог</w:t>
      </w:r>
    </w:p>
    <w:p w:rsidR="000F012C" w:rsidRPr="00E261DC" w:rsidRDefault="000F012C" w:rsidP="00646402">
      <w:pPr>
        <w:ind w:firstLine="0"/>
        <w:jc w:val="center"/>
      </w:pPr>
      <w:r w:rsidRPr="00616035">
        <w:rPr>
          <w:noProof/>
          <w:lang w:eastAsia="ru-RU"/>
        </w:rPr>
        <w:lastRenderedPageBreak/>
        <w:drawing>
          <wp:inline distT="0" distB="0" distL="0" distR="0">
            <wp:extent cx="6101217" cy="301633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41" cy="3026330"/>
                    </a:xfrm>
                    <a:prstGeom prst="rect">
                      <a:avLst/>
                    </a:prstGeom>
                    <a:noFill/>
                    <a:ln>
                      <a:noFill/>
                    </a:ln>
                  </pic:spPr>
                </pic:pic>
              </a:graphicData>
            </a:graphic>
          </wp:inline>
        </w:drawing>
      </w:r>
    </w:p>
    <w:p w:rsidR="00E261DC" w:rsidRPr="00616035" w:rsidRDefault="00E261DC" w:rsidP="00646402">
      <w:pPr>
        <w:pStyle w:val="ab"/>
      </w:pPr>
      <w:r w:rsidRPr="00616035">
        <w:t>Рис</w:t>
      </w:r>
      <w:r>
        <w:t>.</w:t>
      </w:r>
      <w:r w:rsidRPr="00616035">
        <w:t xml:space="preserve"> </w:t>
      </w:r>
      <w:r>
        <w:t>2.</w:t>
      </w:r>
      <w:r w:rsidRPr="00616035">
        <w:t xml:space="preserve"> Распределение случаев перерасхода средств </w:t>
      </w:r>
      <w:r w:rsidR="00646402">
        <w:br/>
      </w:r>
      <w:r w:rsidRPr="00616035">
        <w:t xml:space="preserve">на примере проектов строительства </w:t>
      </w:r>
      <w:r>
        <w:t>железных дорог</w:t>
      </w:r>
    </w:p>
    <w:p w:rsidR="009056BF" w:rsidRPr="00616035" w:rsidRDefault="009056BF" w:rsidP="00646402">
      <w:r w:rsidRPr="00616035">
        <w:t xml:space="preserve">При этом </w:t>
      </w:r>
      <w:proofErr w:type="spellStart"/>
      <w:r w:rsidRPr="00616035">
        <w:t>Фливбергом</w:t>
      </w:r>
      <w:proofErr w:type="spellEnd"/>
      <w:r w:rsidRPr="00616035">
        <w:t xml:space="preserve"> было проведено аналогичное исследование в иных сферах: </w:t>
      </w:r>
      <w:proofErr w:type="gramStart"/>
      <w:r w:rsidRPr="00616035">
        <w:rPr>
          <w:lang w:val="en-US"/>
        </w:rPr>
        <w:t>IT</w:t>
      </w:r>
      <w:r w:rsidRPr="00616035">
        <w:t xml:space="preserve">-систем, аэрокосмической, ВПК, </w:t>
      </w:r>
      <w:proofErr w:type="spellStart"/>
      <w:r w:rsidRPr="00616035">
        <w:t>нефте</w:t>
      </w:r>
      <w:proofErr w:type="spellEnd"/>
      <w:r w:rsidRPr="00616035">
        <w:t>- и газодобычи.</w:t>
      </w:r>
      <w:proofErr w:type="gramEnd"/>
      <w:r w:rsidRPr="00616035">
        <w:t xml:space="preserve"> Полученные данные свидетельствов</w:t>
      </w:r>
      <w:r w:rsidRPr="00616035">
        <w:t>а</w:t>
      </w:r>
      <w:r w:rsidRPr="00616035">
        <w:t>ли о наличии такого же (либо еще большего) перерасхода средств, таким образом, подобная тенденция характерна и для прочих сфер.</w:t>
      </w:r>
    </w:p>
    <w:p w:rsidR="009056BF" w:rsidRPr="00616035" w:rsidRDefault="009056BF" w:rsidP="00646402">
      <w:r w:rsidRPr="00616035">
        <w:t>С точки зрения реализации</w:t>
      </w:r>
      <w:r w:rsidR="00D256FB" w:rsidRPr="00616035">
        <w:t xml:space="preserve"> модели сравнительного прогнозирования</w:t>
      </w:r>
      <w:r w:rsidRPr="00616035">
        <w:t xml:space="preserve"> </w:t>
      </w:r>
      <w:r w:rsidR="00D256FB" w:rsidRPr="00616035">
        <w:t>процедура с</w:t>
      </w:r>
      <w:r w:rsidR="00D256FB" w:rsidRPr="00616035">
        <w:t>о</w:t>
      </w:r>
      <w:r w:rsidR="00D256FB" w:rsidRPr="00616035">
        <w:t xml:space="preserve">стоит </w:t>
      </w:r>
      <w:r w:rsidRPr="00616035">
        <w:t>из нескольких этапов.</w:t>
      </w:r>
    </w:p>
    <w:p w:rsidR="009056BF" w:rsidRPr="00616035" w:rsidRDefault="009056BF" w:rsidP="00646402">
      <w:r w:rsidRPr="00616035">
        <w:t>Для формализации уже имеющегося опыта завершившиеся проекты группируются</w:t>
      </w:r>
      <w:r w:rsidR="007E3D0A" w:rsidRPr="00616035">
        <w:t xml:space="preserve"> (формируя эталонную группу)</w:t>
      </w:r>
      <w:r w:rsidRPr="00616035">
        <w:t>, затем определяются показатели, для которых могут быть ра</w:t>
      </w:r>
      <w:r w:rsidRPr="00616035">
        <w:t>с</w:t>
      </w:r>
      <w:r w:rsidRPr="00616035">
        <w:t>считаны необходимые для дальнейшего анализа значения. Для каждого проекта и для кажд</w:t>
      </w:r>
      <w:r w:rsidRPr="00616035">
        <w:t>о</w:t>
      </w:r>
      <w:r w:rsidRPr="00616035">
        <w:t>го показателя определяется разница между завершившимся проектом и целевым проектом. Под целевым проектом будем в дальнейшем понимать один определенный проект, для кот</w:t>
      </w:r>
      <w:r w:rsidRPr="00616035">
        <w:t>о</w:t>
      </w:r>
      <w:r w:rsidRPr="00616035">
        <w:t>рого выполняется прогноз и планирование.</w:t>
      </w:r>
    </w:p>
    <w:p w:rsidR="00907FF9" w:rsidRPr="00616035" w:rsidRDefault="00056F78" w:rsidP="00646402">
      <w:pPr>
        <w:pStyle w:val="ab"/>
      </w:pPr>
      <w:r w:rsidRPr="00616035">
        <w:object w:dxaOrig="11165" w:dyaOrig="7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62.25pt" o:ole="">
            <v:imagedata r:id="rId11" o:title=""/>
          </v:shape>
          <o:OLEObject Type="Embed" ProgID="Visio.Drawing.15" ShapeID="_x0000_i1025" DrawAspect="Content" ObjectID="_1622570281" r:id="rId12"/>
        </w:object>
      </w:r>
      <w:r w:rsidR="00E261DC">
        <w:t>Рис. 3.</w:t>
      </w:r>
      <w:r w:rsidR="00907FF9" w:rsidRPr="00616035">
        <w:t xml:space="preserve"> Принципиальная блок-схема общего уровня </w:t>
      </w:r>
      <w:r w:rsidR="00907FF9" w:rsidRPr="00616035">
        <w:br/>
        <w:t>метода сравнительного прогнозирования</w:t>
      </w:r>
    </w:p>
    <w:p w:rsidR="009056BF" w:rsidRPr="00616035" w:rsidRDefault="009056BF" w:rsidP="00646402">
      <w:r w:rsidRPr="00616035">
        <w:t>Следующим этапом становится распределение весовых коэффициентов, на основе к</w:t>
      </w:r>
      <w:r w:rsidRPr="00616035">
        <w:t>о</w:t>
      </w:r>
      <w:r w:rsidRPr="00616035">
        <w:t>торых завершившиеся проекты ранжируются по степени близости к целевому проекту. Р</w:t>
      </w:r>
      <w:r w:rsidRPr="00616035">
        <w:t>е</w:t>
      </w:r>
      <w:r w:rsidRPr="00616035">
        <w:t>зультаты каждого проекта сравнительной группы затем используются для формирования взвешенного частотного распределения с целью определить вероятность каждого исхода для целевого проекта [6].</w:t>
      </w:r>
    </w:p>
    <w:p w:rsidR="007F578E" w:rsidRDefault="007F578E" w:rsidP="00646402">
      <w:r w:rsidRPr="00616035">
        <w:t>Одной из задач, требующих решения, является корректное приведение всех проектов МРФ «Дальний Восток» к единому стандарту для корректной оценки их результатов. Так как МРФ «ДВ» состоит из семи региональных филиалов, каждый из которых обладает своей спецификой и только ему присущими стандартами эффективности продаж, необходимо ра</w:t>
      </w:r>
      <w:r w:rsidRPr="00616035">
        <w:t>з</w:t>
      </w:r>
      <w:r w:rsidRPr="00616035">
        <w:t>работать систему коэффициентов и удельных весов, позволяющих оценивать разные прое</w:t>
      </w:r>
      <w:r w:rsidRPr="00616035">
        <w:t>к</w:t>
      </w:r>
      <w:r w:rsidRPr="00616035">
        <w:t>ты по разным показателям в рамках единой системы.</w:t>
      </w:r>
    </w:p>
    <w:p w:rsidR="00056F78" w:rsidRDefault="00056F78" w:rsidP="00646402">
      <w:r>
        <w:br w:type="page"/>
      </w:r>
    </w:p>
    <w:p w:rsidR="00B75530" w:rsidRPr="00E94BE3" w:rsidRDefault="00651AA0" w:rsidP="00646402">
      <w:pPr>
        <w:rPr>
          <w:rFonts w:eastAsiaTheme="minorHAnsi"/>
        </w:rPr>
      </w:pPr>
      <w:r>
        <w:lastRenderedPageBreak/>
        <w:t xml:space="preserve">Таблица 1 — </w:t>
      </w:r>
      <w:r w:rsidR="0035643D" w:rsidRPr="00E94BE3">
        <w:t>Отобранные проекты эталонной группы с данными</w:t>
      </w:r>
      <w:r>
        <w:t xml:space="preserve"> за 2016 г.</w:t>
      </w:r>
      <w:r w:rsidR="00B75530" w:rsidRPr="00616035">
        <w:fldChar w:fldCharType="begin"/>
      </w:r>
      <w:r w:rsidR="00B75530" w:rsidRPr="00E94BE3">
        <w:instrText xml:space="preserve"> LINK Excel.Sheet.12 "https://d.docs.live.net/dc831082644ab2e4/Документы/Книга1.xlsx" "Лист2!R2C1:R35C6" \a \f 4 \h  \* MERGEFORMAT </w:instrText>
      </w:r>
      <w:r w:rsidR="00B75530" w:rsidRPr="00616035">
        <w:fldChar w:fldCharType="separate"/>
      </w:r>
    </w:p>
    <w:tbl>
      <w:tblPr>
        <w:tblW w:w="10202" w:type="dxa"/>
        <w:tblInd w:w="-113" w:type="dxa"/>
        <w:tblLayout w:type="fixed"/>
        <w:tblLook w:val="04A0" w:firstRow="1" w:lastRow="0" w:firstColumn="1" w:lastColumn="0" w:noHBand="0" w:noVBand="1"/>
      </w:tblPr>
      <w:tblGrid>
        <w:gridCol w:w="534"/>
        <w:gridCol w:w="5386"/>
        <w:gridCol w:w="993"/>
        <w:gridCol w:w="1275"/>
        <w:gridCol w:w="1134"/>
        <w:gridCol w:w="880"/>
      </w:tblGrid>
      <w:tr w:rsidR="00001318" w:rsidRPr="00616035" w:rsidTr="00001318">
        <w:trPr>
          <w:trHeight w:val="54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center"/>
              <w:rPr>
                <w:sz w:val="20"/>
                <w:szCs w:val="20"/>
                <w:lang w:val="en-US"/>
              </w:rPr>
            </w:pPr>
            <w:proofErr w:type="spellStart"/>
            <w:r w:rsidRPr="00651AA0">
              <w:rPr>
                <w:sz w:val="20"/>
                <w:szCs w:val="20"/>
                <w:lang w:val="en-US"/>
              </w:rPr>
              <w:t>Инвестиционный</w:t>
            </w:r>
            <w:proofErr w:type="spellEnd"/>
            <w:r w:rsidRPr="00651AA0">
              <w:rPr>
                <w:sz w:val="20"/>
                <w:szCs w:val="20"/>
                <w:lang w:val="en-US"/>
              </w:rPr>
              <w:t xml:space="preserve"> </w:t>
            </w:r>
            <w:proofErr w:type="spellStart"/>
            <w:r w:rsidRPr="00651AA0">
              <w:rPr>
                <w:sz w:val="20"/>
                <w:szCs w:val="20"/>
                <w:lang w:val="en-US"/>
              </w:rPr>
              <w:t>проект</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center"/>
              <w:rPr>
                <w:sz w:val="20"/>
                <w:szCs w:val="20"/>
                <w:lang w:val="en-US"/>
              </w:rPr>
            </w:pPr>
            <w:proofErr w:type="spellStart"/>
            <w:r w:rsidRPr="00651AA0">
              <w:rPr>
                <w:sz w:val="20"/>
                <w:szCs w:val="20"/>
                <w:lang w:val="en-US"/>
              </w:rPr>
              <w:t>Филиал</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5530" w:rsidRPr="00651AA0" w:rsidRDefault="00651AA0" w:rsidP="00651AA0">
            <w:pPr>
              <w:spacing w:line="240" w:lineRule="auto"/>
              <w:ind w:firstLine="5"/>
              <w:jc w:val="center"/>
              <w:rPr>
                <w:sz w:val="20"/>
                <w:szCs w:val="20"/>
              </w:rPr>
            </w:pPr>
            <w:r w:rsidRPr="00651AA0">
              <w:rPr>
                <w:sz w:val="20"/>
                <w:szCs w:val="20"/>
              </w:rPr>
              <w:t xml:space="preserve">План </w:t>
            </w:r>
            <w:r w:rsidRPr="00651AA0">
              <w:rPr>
                <w:sz w:val="20"/>
                <w:szCs w:val="20"/>
              </w:rPr>
              <w:br/>
              <w:t>(тыс.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5530" w:rsidRPr="00651AA0" w:rsidRDefault="00651AA0" w:rsidP="00651AA0">
            <w:pPr>
              <w:spacing w:line="240" w:lineRule="auto"/>
              <w:ind w:firstLine="5"/>
              <w:jc w:val="center"/>
              <w:rPr>
                <w:sz w:val="20"/>
                <w:szCs w:val="20"/>
              </w:rPr>
            </w:pPr>
            <w:r>
              <w:rPr>
                <w:sz w:val="20"/>
                <w:szCs w:val="20"/>
              </w:rPr>
              <w:t xml:space="preserve">Факт </w:t>
            </w:r>
            <w:r>
              <w:rPr>
                <w:sz w:val="20"/>
                <w:szCs w:val="20"/>
              </w:rPr>
              <w:br/>
              <w:t>(тыс. руб.)</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75530" w:rsidRPr="00651AA0" w:rsidRDefault="00651AA0" w:rsidP="00651AA0">
            <w:pPr>
              <w:spacing w:line="240" w:lineRule="auto"/>
              <w:ind w:firstLine="5"/>
              <w:jc w:val="center"/>
              <w:rPr>
                <w:sz w:val="20"/>
                <w:szCs w:val="20"/>
              </w:rPr>
            </w:pPr>
            <w:r>
              <w:rPr>
                <w:sz w:val="20"/>
                <w:szCs w:val="20"/>
              </w:rPr>
              <w:t>%</w:t>
            </w:r>
          </w:p>
        </w:tc>
      </w:tr>
      <w:tr w:rsidR="00001318" w:rsidRPr="00616035" w:rsidTr="00001318">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rPr>
            </w:pPr>
            <w:r w:rsidRPr="00651AA0">
              <w:rPr>
                <w:sz w:val="20"/>
                <w:szCs w:val="20"/>
              </w:rPr>
              <w:t>1</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сети GPON в г. Владивостоке в 2013 году</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rPr>
            </w:pPr>
            <w:r w:rsidRPr="00651AA0">
              <w:rPr>
                <w:sz w:val="20"/>
                <w:szCs w:val="20"/>
              </w:rPr>
              <w:t>ПФ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rPr>
            </w:pPr>
            <w:r w:rsidRPr="00651AA0">
              <w:rPr>
                <w:sz w:val="20"/>
                <w:szCs w:val="20"/>
              </w:rPr>
              <w:t>5 074</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rPr>
            </w:pPr>
            <w:r w:rsidRPr="00651AA0">
              <w:rPr>
                <w:sz w:val="20"/>
                <w:szCs w:val="20"/>
              </w:rPr>
              <w:t>-2 312</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rPr>
            </w:pPr>
            <w:r w:rsidRPr="00651AA0">
              <w:rPr>
                <w:sz w:val="20"/>
                <w:szCs w:val="20"/>
              </w:rPr>
              <w:t>146%</w:t>
            </w:r>
          </w:p>
        </w:tc>
      </w:tr>
      <w:tr w:rsidR="00001318" w:rsidRPr="00616035" w:rsidTr="00001318">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rPr>
            </w:pPr>
            <w:r w:rsidRPr="00651AA0">
              <w:rPr>
                <w:sz w:val="20"/>
                <w:szCs w:val="20"/>
              </w:rPr>
              <w:t>2</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сети GPON в Хабаровском филиале</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ХФ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1 989</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1 737</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13%</w:t>
            </w:r>
          </w:p>
        </w:tc>
      </w:tr>
      <w:tr w:rsidR="00001318" w:rsidRPr="00616035" w:rsidTr="00001318">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3</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сетей ШПД в новостроящихся зданиях в 2013-2015гг.</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МРФ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104 313</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82 717</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21%</w:t>
            </w:r>
          </w:p>
        </w:tc>
      </w:tr>
      <w:tr w:rsidR="00001318" w:rsidRPr="00616035" w:rsidTr="00001318">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4</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сети ШПД в г. Комсомольск-на-Амуре Х</w:t>
            </w:r>
            <w:r w:rsidRPr="00651AA0">
              <w:rPr>
                <w:sz w:val="20"/>
                <w:szCs w:val="20"/>
              </w:rPr>
              <w:t>а</w:t>
            </w:r>
            <w:r w:rsidRPr="00651AA0">
              <w:rPr>
                <w:sz w:val="20"/>
                <w:szCs w:val="20"/>
              </w:rPr>
              <w:t>баровского филиала в 2013-2014гг.</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ХФ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2 186</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-1 316</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160%</w:t>
            </w:r>
          </w:p>
        </w:tc>
      </w:tr>
      <w:tr w:rsidR="00001318" w:rsidRPr="00616035" w:rsidTr="00001318">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5</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Дополнительное строительство сети GPON в г. Хабаровске в 2013 году</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ХФ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5 693</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5 772</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w:t>
            </w:r>
          </w:p>
        </w:tc>
      </w:tr>
      <w:tr w:rsidR="00001318" w:rsidRPr="00616035" w:rsidTr="00001318">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6</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Дополнительное строительство сети GPON в г. Владив</w:t>
            </w:r>
            <w:r w:rsidRPr="00651AA0">
              <w:rPr>
                <w:sz w:val="20"/>
                <w:szCs w:val="20"/>
              </w:rPr>
              <w:t>о</w:t>
            </w:r>
            <w:r w:rsidRPr="00651AA0">
              <w:rPr>
                <w:sz w:val="20"/>
                <w:szCs w:val="20"/>
              </w:rPr>
              <w:t>стоке в 2013 году</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ПФ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3 168</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-735</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123%</w:t>
            </w:r>
          </w:p>
        </w:tc>
      </w:tr>
      <w:tr w:rsidR="00001318" w:rsidRPr="00616035" w:rsidTr="00001318">
        <w:trPr>
          <w:trHeight w:val="9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7</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сетей ШПД по технологии FTTB/</w:t>
            </w:r>
            <w:proofErr w:type="spellStart"/>
            <w:proofErr w:type="gramStart"/>
            <w:r w:rsidRPr="00651AA0">
              <w:rPr>
                <w:sz w:val="20"/>
                <w:szCs w:val="20"/>
              </w:rPr>
              <w:t>М</w:t>
            </w:r>
            <w:proofErr w:type="gramEnd"/>
            <w:r w:rsidRPr="00651AA0">
              <w:rPr>
                <w:sz w:val="20"/>
                <w:szCs w:val="20"/>
              </w:rPr>
              <w:t>etroEthernet</w:t>
            </w:r>
            <w:proofErr w:type="spellEnd"/>
            <w:r w:rsidRPr="00651AA0">
              <w:rPr>
                <w:sz w:val="20"/>
                <w:szCs w:val="20"/>
              </w:rPr>
              <w:t xml:space="preserve"> для обеспечения коммерческого спроса в городах ДФО (КФ, СФ, ПФ, АФ)</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МРФ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35 125</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26 441</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25%</w:t>
            </w:r>
          </w:p>
        </w:tc>
      </w:tr>
      <w:tr w:rsidR="00001318" w:rsidRPr="00616035" w:rsidTr="00001318">
        <w:trPr>
          <w:trHeight w:val="109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8</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сетей ШПД по технологии FTTB/</w:t>
            </w:r>
            <w:proofErr w:type="spellStart"/>
            <w:proofErr w:type="gramStart"/>
            <w:r w:rsidRPr="00651AA0">
              <w:rPr>
                <w:sz w:val="20"/>
                <w:szCs w:val="20"/>
              </w:rPr>
              <w:t>М</w:t>
            </w:r>
            <w:proofErr w:type="gramEnd"/>
            <w:r w:rsidRPr="00651AA0">
              <w:rPr>
                <w:sz w:val="20"/>
                <w:szCs w:val="20"/>
              </w:rPr>
              <w:t>etroEthernet</w:t>
            </w:r>
            <w:proofErr w:type="spellEnd"/>
            <w:r w:rsidRPr="00651AA0">
              <w:rPr>
                <w:sz w:val="20"/>
                <w:szCs w:val="20"/>
              </w:rPr>
              <w:t xml:space="preserve"> в городах Приморского и Хабаровск</w:t>
            </w:r>
            <w:r w:rsidRPr="00651AA0">
              <w:rPr>
                <w:sz w:val="20"/>
                <w:szCs w:val="20"/>
              </w:rPr>
              <w:t>о</w:t>
            </w:r>
            <w:r w:rsidRPr="00651AA0">
              <w:rPr>
                <w:sz w:val="20"/>
                <w:szCs w:val="20"/>
              </w:rPr>
              <w:t>го края 3 этапа ситуационного планирования</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МРФ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22 886</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11 800</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48%</w:t>
            </w:r>
          </w:p>
        </w:tc>
      </w:tr>
      <w:tr w:rsidR="00001318" w:rsidRPr="00616035" w:rsidTr="00001318">
        <w:trPr>
          <w:trHeight w:val="72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9</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 xml:space="preserve">Строительство сети ШПД в </w:t>
            </w:r>
            <w:proofErr w:type="spellStart"/>
            <w:r w:rsidRPr="00651AA0">
              <w:rPr>
                <w:sz w:val="20"/>
                <w:szCs w:val="20"/>
              </w:rPr>
              <w:t>г</w:t>
            </w:r>
            <w:proofErr w:type="gramStart"/>
            <w:r w:rsidRPr="00651AA0">
              <w:rPr>
                <w:sz w:val="20"/>
                <w:szCs w:val="20"/>
              </w:rPr>
              <w:t>.К</w:t>
            </w:r>
            <w:proofErr w:type="gramEnd"/>
            <w:r w:rsidRPr="00651AA0">
              <w:rPr>
                <w:sz w:val="20"/>
                <w:szCs w:val="20"/>
              </w:rPr>
              <w:t>омсомольск</w:t>
            </w:r>
            <w:proofErr w:type="spellEnd"/>
            <w:r w:rsidRPr="00651AA0">
              <w:rPr>
                <w:sz w:val="20"/>
                <w:szCs w:val="20"/>
              </w:rPr>
              <w:t>-на-Амуре в 2014г.</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ХФ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22 974</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22 974</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0%</w:t>
            </w:r>
          </w:p>
        </w:tc>
      </w:tr>
      <w:tr w:rsidR="00001318" w:rsidRPr="00616035" w:rsidTr="00001318">
        <w:trPr>
          <w:trHeight w:val="70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10</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сети ШПД в г. Владивосток в 2014 году</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ПФ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106 065</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93 427</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12%</w:t>
            </w:r>
          </w:p>
        </w:tc>
      </w:tr>
      <w:tr w:rsidR="00001318" w:rsidRPr="00616035" w:rsidTr="00001318">
        <w:trPr>
          <w:trHeight w:val="10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11</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сетей ШПД по технологии FTTB/</w:t>
            </w:r>
            <w:proofErr w:type="spellStart"/>
            <w:proofErr w:type="gramStart"/>
            <w:r w:rsidRPr="00651AA0">
              <w:rPr>
                <w:sz w:val="20"/>
                <w:szCs w:val="20"/>
              </w:rPr>
              <w:t>М</w:t>
            </w:r>
            <w:proofErr w:type="gramEnd"/>
            <w:r w:rsidRPr="00651AA0">
              <w:rPr>
                <w:sz w:val="20"/>
                <w:szCs w:val="20"/>
              </w:rPr>
              <w:t>etroEthernet</w:t>
            </w:r>
            <w:proofErr w:type="spellEnd"/>
            <w:r w:rsidRPr="00651AA0">
              <w:rPr>
                <w:sz w:val="20"/>
                <w:szCs w:val="20"/>
              </w:rPr>
              <w:t xml:space="preserve">  для обеспечения перспективного ко</w:t>
            </w:r>
            <w:r w:rsidRPr="00651AA0">
              <w:rPr>
                <w:sz w:val="20"/>
                <w:szCs w:val="20"/>
              </w:rPr>
              <w:t>м</w:t>
            </w:r>
            <w:r w:rsidRPr="00651AA0">
              <w:rPr>
                <w:sz w:val="20"/>
                <w:szCs w:val="20"/>
              </w:rPr>
              <w:t>мерческого спроса в городе Магадан</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МРФ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1 745</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830</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52%</w:t>
            </w:r>
          </w:p>
        </w:tc>
      </w:tr>
      <w:tr w:rsidR="00001318" w:rsidRPr="00616035" w:rsidTr="00001318">
        <w:trPr>
          <w:trHeight w:val="73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12</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Дополнительное строительство сети GPON в Приморском крае</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ПФ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31 370</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29 323</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7%</w:t>
            </w:r>
          </w:p>
        </w:tc>
      </w:tr>
      <w:tr w:rsidR="00001318" w:rsidRPr="00616035" w:rsidTr="00001318">
        <w:trPr>
          <w:trHeight w:val="11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13</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Дополнительное строительство сетей ШПД по технологии FTTB/</w:t>
            </w:r>
            <w:proofErr w:type="spellStart"/>
            <w:proofErr w:type="gramStart"/>
            <w:r w:rsidRPr="00651AA0">
              <w:rPr>
                <w:sz w:val="20"/>
                <w:szCs w:val="20"/>
              </w:rPr>
              <w:t>М</w:t>
            </w:r>
            <w:proofErr w:type="gramEnd"/>
            <w:r w:rsidRPr="00651AA0">
              <w:rPr>
                <w:sz w:val="20"/>
                <w:szCs w:val="20"/>
              </w:rPr>
              <w:t>etroEthernet</w:t>
            </w:r>
            <w:proofErr w:type="spellEnd"/>
            <w:r w:rsidRPr="00651AA0">
              <w:rPr>
                <w:sz w:val="20"/>
                <w:szCs w:val="20"/>
              </w:rPr>
              <w:t xml:space="preserve"> для обеспечения коммерческого спроса в городах ДФО</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МРФ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188 417</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191 559</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-2%</w:t>
            </w:r>
          </w:p>
        </w:tc>
      </w:tr>
      <w:tr w:rsidR="00001318" w:rsidRPr="00616035" w:rsidTr="00001318">
        <w:trPr>
          <w:trHeight w:val="76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14</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сети GPON в малоэтажных домах г. Якутска</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СТК</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7 414</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7 413</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0%</w:t>
            </w:r>
          </w:p>
        </w:tc>
      </w:tr>
      <w:tr w:rsidR="00001318" w:rsidRPr="00616035" w:rsidTr="00001318">
        <w:trPr>
          <w:trHeight w:val="86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15</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 xml:space="preserve">Строительство сети GPON в малоэтажных домах п. </w:t>
            </w:r>
            <w:proofErr w:type="spellStart"/>
            <w:r w:rsidRPr="00651AA0">
              <w:rPr>
                <w:sz w:val="20"/>
                <w:szCs w:val="20"/>
              </w:rPr>
              <w:t>Мохс</w:t>
            </w:r>
            <w:r w:rsidRPr="00651AA0">
              <w:rPr>
                <w:sz w:val="20"/>
                <w:szCs w:val="20"/>
              </w:rPr>
              <w:t>о</w:t>
            </w:r>
            <w:r w:rsidRPr="00651AA0">
              <w:rPr>
                <w:sz w:val="20"/>
                <w:szCs w:val="20"/>
              </w:rPr>
              <w:t>голлох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СТК</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11 322</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8 681</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23%</w:t>
            </w:r>
          </w:p>
        </w:tc>
      </w:tr>
      <w:tr w:rsidR="00001318" w:rsidRPr="00616035" w:rsidTr="00001318">
        <w:trPr>
          <w:trHeight w:val="96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16</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сетей ШПД по технологии FTTB/</w:t>
            </w:r>
            <w:proofErr w:type="spellStart"/>
            <w:proofErr w:type="gramStart"/>
            <w:r w:rsidRPr="00651AA0">
              <w:rPr>
                <w:sz w:val="20"/>
                <w:szCs w:val="20"/>
              </w:rPr>
              <w:t>М</w:t>
            </w:r>
            <w:proofErr w:type="gramEnd"/>
            <w:r w:rsidRPr="00651AA0">
              <w:rPr>
                <w:sz w:val="20"/>
                <w:szCs w:val="20"/>
              </w:rPr>
              <w:t>etroEthernet</w:t>
            </w:r>
            <w:proofErr w:type="spellEnd"/>
            <w:r w:rsidRPr="00651AA0">
              <w:rPr>
                <w:sz w:val="20"/>
                <w:szCs w:val="20"/>
              </w:rPr>
              <w:t xml:space="preserve"> в многоэтажных домах в Амурском филиале в 2015 году</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АФ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4 374</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4 325</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1%</w:t>
            </w:r>
          </w:p>
        </w:tc>
      </w:tr>
      <w:tr w:rsidR="00001318" w:rsidRPr="00616035" w:rsidTr="00001318">
        <w:trPr>
          <w:trHeight w:val="83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75530" w:rsidRPr="00651AA0" w:rsidRDefault="00B75530" w:rsidP="00001318">
            <w:pPr>
              <w:spacing w:line="240" w:lineRule="auto"/>
              <w:ind w:firstLine="0"/>
              <w:jc w:val="center"/>
              <w:rPr>
                <w:sz w:val="20"/>
                <w:szCs w:val="20"/>
                <w:lang w:val="en-US"/>
              </w:rPr>
            </w:pPr>
            <w:r w:rsidRPr="00651AA0">
              <w:rPr>
                <w:sz w:val="20"/>
                <w:szCs w:val="20"/>
                <w:lang w:val="en-US"/>
              </w:rPr>
              <w:t>17</w:t>
            </w:r>
          </w:p>
        </w:tc>
        <w:tc>
          <w:tcPr>
            <w:tcW w:w="5386"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left="5" w:hanging="5"/>
              <w:jc w:val="left"/>
              <w:rPr>
                <w:sz w:val="20"/>
                <w:szCs w:val="20"/>
              </w:rPr>
            </w:pPr>
            <w:r w:rsidRPr="00651AA0">
              <w:rPr>
                <w:sz w:val="20"/>
                <w:szCs w:val="20"/>
              </w:rPr>
              <w:t>Строительство сети GPON в малоэтажные дома г. Владив</w:t>
            </w:r>
            <w:r w:rsidRPr="00651AA0">
              <w:rPr>
                <w:sz w:val="20"/>
                <w:szCs w:val="20"/>
              </w:rPr>
              <w:t>о</w:t>
            </w:r>
            <w:r w:rsidRPr="00651AA0">
              <w:rPr>
                <w:sz w:val="20"/>
                <w:szCs w:val="20"/>
              </w:rPr>
              <w:t>стока</w:t>
            </w:r>
          </w:p>
        </w:tc>
        <w:tc>
          <w:tcPr>
            <w:tcW w:w="993"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0"/>
              <w:jc w:val="left"/>
              <w:rPr>
                <w:sz w:val="20"/>
                <w:szCs w:val="20"/>
                <w:lang w:val="en-US"/>
              </w:rPr>
            </w:pPr>
            <w:r w:rsidRPr="00651AA0">
              <w:rPr>
                <w:sz w:val="20"/>
                <w:szCs w:val="20"/>
                <w:lang w:val="en-US"/>
              </w:rPr>
              <w:t>ПФ</w:t>
            </w:r>
          </w:p>
        </w:tc>
        <w:tc>
          <w:tcPr>
            <w:tcW w:w="1275"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4 566</w:t>
            </w:r>
          </w:p>
        </w:tc>
        <w:tc>
          <w:tcPr>
            <w:tcW w:w="1134"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3 054</w:t>
            </w:r>
          </w:p>
        </w:tc>
        <w:tc>
          <w:tcPr>
            <w:tcW w:w="880" w:type="dxa"/>
            <w:tcBorders>
              <w:top w:val="nil"/>
              <w:left w:val="nil"/>
              <w:bottom w:val="single" w:sz="4" w:space="0" w:color="auto"/>
              <w:right w:val="single" w:sz="4" w:space="0" w:color="auto"/>
            </w:tcBorders>
            <w:shd w:val="clear" w:color="auto" w:fill="auto"/>
            <w:vAlign w:val="center"/>
            <w:hideMark/>
          </w:tcPr>
          <w:p w:rsidR="00B75530" w:rsidRPr="00651AA0" w:rsidRDefault="00B75530" w:rsidP="00651AA0">
            <w:pPr>
              <w:spacing w:line="240" w:lineRule="auto"/>
              <w:ind w:firstLine="5"/>
              <w:jc w:val="left"/>
              <w:rPr>
                <w:sz w:val="20"/>
                <w:szCs w:val="20"/>
                <w:lang w:val="en-US"/>
              </w:rPr>
            </w:pPr>
            <w:r w:rsidRPr="00651AA0">
              <w:rPr>
                <w:sz w:val="20"/>
                <w:szCs w:val="20"/>
                <w:lang w:val="en-US"/>
              </w:rPr>
              <w:t>33%</w:t>
            </w:r>
          </w:p>
        </w:tc>
      </w:tr>
    </w:tbl>
    <w:p w:rsidR="00E261DC" w:rsidRDefault="00B75530" w:rsidP="00646402">
      <w:r w:rsidRPr="00616035">
        <w:fldChar w:fldCharType="end"/>
      </w:r>
    </w:p>
    <w:p w:rsidR="00E261DC" w:rsidRDefault="00E261DC" w:rsidP="00646402">
      <w:r w:rsidRPr="00E261DC">
        <w:lastRenderedPageBreak/>
        <w:t>Продолжение таблицы 1</w:t>
      </w:r>
    </w:p>
    <w:tbl>
      <w:tblPr>
        <w:tblW w:w="10060" w:type="dxa"/>
        <w:tblLayout w:type="fixed"/>
        <w:tblLook w:val="04A0" w:firstRow="1" w:lastRow="0" w:firstColumn="1" w:lastColumn="0" w:noHBand="0" w:noVBand="1"/>
      </w:tblPr>
      <w:tblGrid>
        <w:gridCol w:w="421"/>
        <w:gridCol w:w="5670"/>
        <w:gridCol w:w="993"/>
        <w:gridCol w:w="1134"/>
        <w:gridCol w:w="1134"/>
        <w:gridCol w:w="708"/>
      </w:tblGrid>
      <w:tr w:rsidR="00651AA0" w:rsidRPr="00056F78" w:rsidTr="00001318">
        <w:trPr>
          <w:trHeight w:val="698"/>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left="5" w:hanging="5"/>
              <w:jc w:val="center"/>
              <w:rPr>
                <w:sz w:val="20"/>
                <w:szCs w:val="20"/>
                <w:lang w:val="en-US"/>
              </w:rPr>
            </w:pPr>
            <w:proofErr w:type="spellStart"/>
            <w:r w:rsidRPr="00651AA0">
              <w:rPr>
                <w:sz w:val="20"/>
                <w:szCs w:val="20"/>
                <w:lang w:val="en-US"/>
              </w:rPr>
              <w:t>Инвестиционный</w:t>
            </w:r>
            <w:proofErr w:type="spellEnd"/>
            <w:r w:rsidRPr="00651AA0">
              <w:rPr>
                <w:sz w:val="20"/>
                <w:szCs w:val="20"/>
                <w:lang w:val="en-US"/>
              </w:rPr>
              <w:t xml:space="preserve"> </w:t>
            </w:r>
            <w:proofErr w:type="spellStart"/>
            <w:r w:rsidRPr="00651AA0">
              <w:rPr>
                <w:sz w:val="20"/>
                <w:szCs w:val="20"/>
                <w:lang w:val="en-US"/>
              </w:rPr>
              <w:t>проект</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proofErr w:type="spellStart"/>
            <w:r w:rsidRPr="00651AA0">
              <w:rPr>
                <w:sz w:val="20"/>
                <w:szCs w:val="20"/>
                <w:lang w:val="en-US"/>
              </w:rPr>
              <w:t>Филиал</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5"/>
              <w:jc w:val="center"/>
              <w:rPr>
                <w:sz w:val="20"/>
                <w:szCs w:val="20"/>
              </w:rPr>
            </w:pPr>
            <w:r w:rsidRPr="00651AA0">
              <w:rPr>
                <w:sz w:val="20"/>
                <w:szCs w:val="20"/>
              </w:rPr>
              <w:t xml:space="preserve">План </w:t>
            </w:r>
            <w:r w:rsidRPr="00651AA0">
              <w:rPr>
                <w:sz w:val="20"/>
                <w:szCs w:val="20"/>
              </w:rPr>
              <w:br/>
              <w:t>(тыс.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5"/>
              <w:jc w:val="center"/>
              <w:rPr>
                <w:sz w:val="20"/>
                <w:szCs w:val="20"/>
              </w:rPr>
            </w:pPr>
            <w:r>
              <w:rPr>
                <w:sz w:val="20"/>
                <w:szCs w:val="20"/>
              </w:rPr>
              <w:t xml:space="preserve">Факт </w:t>
            </w:r>
            <w:r>
              <w:rPr>
                <w:sz w:val="20"/>
                <w:szCs w:val="20"/>
              </w:rPr>
              <w:br/>
              <w:t>(тыс. руб.)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5"/>
              <w:jc w:val="center"/>
              <w:rPr>
                <w:sz w:val="20"/>
                <w:szCs w:val="20"/>
              </w:rPr>
            </w:pPr>
            <w:r>
              <w:rPr>
                <w:sz w:val="20"/>
                <w:szCs w:val="20"/>
              </w:rPr>
              <w:t>%</w:t>
            </w:r>
          </w:p>
        </w:tc>
      </w:tr>
      <w:tr w:rsidR="00651AA0" w:rsidRPr="00B75530" w:rsidTr="00001318">
        <w:trPr>
          <w:trHeight w:val="698"/>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18</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Строительство сетей ШПД по технологии PON в малоэтажных домах в г. Благовещенск в 2015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АФ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4 067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3 828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6%</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19</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Строительство сети GPON в малоэтажных домах г. Покровск</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СТК</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7 998</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7 994</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0%</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20</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Строительство сети ШПД по технологии FTTB/</w:t>
            </w:r>
            <w:proofErr w:type="spellStart"/>
            <w:proofErr w:type="gramStart"/>
            <w:r w:rsidRPr="00651AA0">
              <w:rPr>
                <w:sz w:val="20"/>
                <w:szCs w:val="20"/>
              </w:rPr>
              <w:t>М</w:t>
            </w:r>
            <w:proofErr w:type="gramEnd"/>
            <w:r w:rsidRPr="00651AA0">
              <w:rPr>
                <w:sz w:val="20"/>
                <w:szCs w:val="20"/>
              </w:rPr>
              <w:t>etroEthernet</w:t>
            </w:r>
            <w:proofErr w:type="spellEnd"/>
            <w:r w:rsidRPr="00651AA0">
              <w:rPr>
                <w:sz w:val="20"/>
                <w:szCs w:val="20"/>
              </w:rPr>
              <w:t xml:space="preserve"> в Камчатском крае в 2015</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КФ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9 983</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9 983</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0%</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21</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 xml:space="preserve">Дополнительное строительство сети ШПД в п. Токи, п. </w:t>
            </w:r>
            <w:proofErr w:type="spellStart"/>
            <w:r w:rsidRPr="00651AA0">
              <w:rPr>
                <w:sz w:val="20"/>
                <w:szCs w:val="20"/>
              </w:rPr>
              <w:t>Копи</w:t>
            </w:r>
            <w:r w:rsidRPr="00651AA0">
              <w:rPr>
                <w:sz w:val="20"/>
                <w:szCs w:val="20"/>
              </w:rPr>
              <w:t>н</w:t>
            </w:r>
            <w:r w:rsidRPr="00651AA0">
              <w:rPr>
                <w:sz w:val="20"/>
                <w:szCs w:val="20"/>
              </w:rPr>
              <w:t>ский</w:t>
            </w:r>
            <w:proofErr w:type="spellEnd"/>
            <w:r w:rsidRPr="00651AA0">
              <w:rPr>
                <w:sz w:val="20"/>
                <w:szCs w:val="20"/>
              </w:rPr>
              <w:t xml:space="preserve"> и п. </w:t>
            </w:r>
            <w:proofErr w:type="gramStart"/>
            <w:r w:rsidRPr="00651AA0">
              <w:rPr>
                <w:sz w:val="20"/>
                <w:szCs w:val="20"/>
              </w:rPr>
              <w:t>Октябрьский</w:t>
            </w:r>
            <w:proofErr w:type="gramEnd"/>
            <w:r w:rsidRPr="00651AA0">
              <w:rPr>
                <w:sz w:val="20"/>
                <w:szCs w:val="20"/>
              </w:rPr>
              <w:t xml:space="preserve"> </w:t>
            </w:r>
            <w:proofErr w:type="spellStart"/>
            <w:r w:rsidRPr="00651AA0">
              <w:rPr>
                <w:sz w:val="20"/>
                <w:szCs w:val="20"/>
              </w:rPr>
              <w:t>Ванинского</w:t>
            </w:r>
            <w:proofErr w:type="spellEnd"/>
            <w:r w:rsidRPr="00651AA0">
              <w:rPr>
                <w:sz w:val="20"/>
                <w:szCs w:val="20"/>
              </w:rPr>
              <w:t xml:space="preserve"> района в 2015 году.</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ХФ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5 194</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5 620</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-8%</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22</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Дополнительное строительство сети ШПД в г. Советская Г</w:t>
            </w:r>
            <w:r w:rsidRPr="00651AA0">
              <w:rPr>
                <w:sz w:val="20"/>
                <w:szCs w:val="20"/>
              </w:rPr>
              <w:t>а</w:t>
            </w:r>
            <w:r w:rsidRPr="00651AA0">
              <w:rPr>
                <w:sz w:val="20"/>
                <w:szCs w:val="20"/>
              </w:rPr>
              <w:t>вань</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ХФ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1 341</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1 381</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-3%</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23</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 xml:space="preserve">Дополнительное строительство сети ШПД в г. Амурск, п. </w:t>
            </w:r>
            <w:proofErr w:type="spellStart"/>
            <w:r w:rsidRPr="00651AA0">
              <w:rPr>
                <w:sz w:val="20"/>
                <w:szCs w:val="20"/>
              </w:rPr>
              <w:t>Эл</w:t>
            </w:r>
            <w:r w:rsidRPr="00651AA0">
              <w:rPr>
                <w:sz w:val="20"/>
                <w:szCs w:val="20"/>
              </w:rPr>
              <w:t>ь</w:t>
            </w:r>
            <w:r w:rsidRPr="00651AA0">
              <w:rPr>
                <w:sz w:val="20"/>
                <w:szCs w:val="20"/>
              </w:rPr>
              <w:t>бан</w:t>
            </w:r>
            <w:proofErr w:type="spellEnd"/>
            <w:r w:rsidRPr="00651AA0">
              <w:rPr>
                <w:sz w:val="20"/>
                <w:szCs w:val="20"/>
              </w:rPr>
              <w:t xml:space="preserve"> в 2015 году.</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ХФ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8 835</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9 263</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-5%</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24</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Дополнительное строительство сети ШПД в г. Бикин в 2015 г.</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ХФ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3 401</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3 714</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-9%</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25</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Дополнительное строительство сетей ШПД по технологии FTTB/</w:t>
            </w:r>
            <w:proofErr w:type="spellStart"/>
            <w:r w:rsidRPr="00651AA0">
              <w:rPr>
                <w:sz w:val="20"/>
                <w:szCs w:val="20"/>
              </w:rPr>
              <w:t>MetroEthernet</w:t>
            </w:r>
            <w:proofErr w:type="spellEnd"/>
            <w:r w:rsidRPr="00651AA0">
              <w:rPr>
                <w:sz w:val="20"/>
                <w:szCs w:val="20"/>
              </w:rPr>
              <w:t xml:space="preserve"> в амурской области в 2015 году</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АФ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11 992</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12 041</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0%</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26</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 xml:space="preserve">Дополнительное строительство сети ШПД в п. </w:t>
            </w:r>
            <w:proofErr w:type="gramStart"/>
            <w:r w:rsidRPr="00651AA0">
              <w:rPr>
                <w:sz w:val="20"/>
                <w:szCs w:val="20"/>
              </w:rPr>
              <w:t>Солнечный</w:t>
            </w:r>
            <w:proofErr w:type="gramEnd"/>
            <w:r w:rsidRPr="00651AA0">
              <w:rPr>
                <w:sz w:val="20"/>
                <w:szCs w:val="20"/>
              </w:rPr>
              <w:t xml:space="preserve"> в 2015 году</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ХФ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8 913</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8 901</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0%</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27</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Дополнительное строительство сети ШПД по технологии FTTB/</w:t>
            </w:r>
            <w:proofErr w:type="spellStart"/>
            <w:proofErr w:type="gramStart"/>
            <w:r w:rsidRPr="00651AA0">
              <w:rPr>
                <w:sz w:val="20"/>
                <w:szCs w:val="20"/>
              </w:rPr>
              <w:t>М</w:t>
            </w:r>
            <w:proofErr w:type="gramEnd"/>
            <w:r w:rsidRPr="00651AA0">
              <w:rPr>
                <w:sz w:val="20"/>
                <w:szCs w:val="20"/>
              </w:rPr>
              <w:t>etroEthernet</w:t>
            </w:r>
            <w:proofErr w:type="spellEnd"/>
            <w:r w:rsidRPr="00651AA0">
              <w:rPr>
                <w:sz w:val="20"/>
                <w:szCs w:val="20"/>
              </w:rPr>
              <w:t xml:space="preserve"> в Камчатском крае в 2015</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КФ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5 674</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5 904</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-4%</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28</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Дополнительное строительство сетей ШПД по технологии FTTB/</w:t>
            </w:r>
            <w:proofErr w:type="spellStart"/>
            <w:proofErr w:type="gramStart"/>
            <w:r w:rsidRPr="00651AA0">
              <w:rPr>
                <w:sz w:val="20"/>
                <w:szCs w:val="20"/>
              </w:rPr>
              <w:t>М</w:t>
            </w:r>
            <w:proofErr w:type="gramEnd"/>
            <w:r w:rsidRPr="00651AA0">
              <w:rPr>
                <w:sz w:val="20"/>
                <w:szCs w:val="20"/>
              </w:rPr>
              <w:t>etroEthernet</w:t>
            </w:r>
            <w:proofErr w:type="spellEnd"/>
            <w:r w:rsidRPr="00651AA0">
              <w:rPr>
                <w:sz w:val="20"/>
                <w:szCs w:val="20"/>
              </w:rPr>
              <w:t xml:space="preserve"> для обеспечения коммерческого спроса в городе Магадан</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МФ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15 691</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8 791</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44%</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29</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Дополнительное строительство сетей ШПД по технологии FTTB/</w:t>
            </w:r>
            <w:proofErr w:type="spellStart"/>
            <w:proofErr w:type="gramStart"/>
            <w:r w:rsidRPr="00651AA0">
              <w:rPr>
                <w:sz w:val="20"/>
                <w:szCs w:val="20"/>
              </w:rPr>
              <w:t>М</w:t>
            </w:r>
            <w:proofErr w:type="gramEnd"/>
            <w:r w:rsidRPr="00651AA0">
              <w:rPr>
                <w:sz w:val="20"/>
                <w:szCs w:val="20"/>
              </w:rPr>
              <w:t>etroEthernet</w:t>
            </w:r>
            <w:proofErr w:type="spellEnd"/>
            <w:r w:rsidRPr="00651AA0">
              <w:rPr>
                <w:sz w:val="20"/>
                <w:szCs w:val="20"/>
              </w:rPr>
              <w:t xml:space="preserve"> для обеспечения коммерческого спроса в г. Шахтерск, Томари, Макаров, Смирных Сахалинской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СФ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8 051</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7 650</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5%</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30</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Дополнительное строительство сети ШПД в Приморском крае в 2015 году (расширение)</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ПФ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37 560</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26 947</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28%</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31</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Дополнительное строительство сетей ШПД по технологии FTTB/</w:t>
            </w:r>
            <w:proofErr w:type="spellStart"/>
            <w:proofErr w:type="gramStart"/>
            <w:r w:rsidRPr="00651AA0">
              <w:rPr>
                <w:sz w:val="20"/>
                <w:szCs w:val="20"/>
              </w:rPr>
              <w:t>М</w:t>
            </w:r>
            <w:proofErr w:type="gramEnd"/>
            <w:r w:rsidRPr="00651AA0">
              <w:rPr>
                <w:sz w:val="20"/>
                <w:szCs w:val="20"/>
              </w:rPr>
              <w:t>etroEthernet</w:t>
            </w:r>
            <w:proofErr w:type="spellEnd"/>
            <w:r w:rsidRPr="00651AA0">
              <w:rPr>
                <w:sz w:val="20"/>
                <w:szCs w:val="20"/>
              </w:rPr>
              <w:t xml:space="preserve"> для обеспечения коммерческого спроса в г. Южно-Сахалинск</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СФ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6 593</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2 433</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63%</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32</w:t>
            </w: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rPr>
            </w:pPr>
            <w:r w:rsidRPr="00651AA0">
              <w:rPr>
                <w:sz w:val="20"/>
                <w:szCs w:val="20"/>
              </w:rPr>
              <w:t>Дополнительное строительство сети GPON в г. Хабаровск</w:t>
            </w:r>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ХФ</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3 717</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3 432</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8%</w:t>
            </w:r>
          </w:p>
        </w:tc>
      </w:tr>
      <w:tr w:rsidR="00651AA0" w:rsidRPr="00B75530" w:rsidTr="00001318">
        <w:trPr>
          <w:trHeight w:val="69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51AA0" w:rsidRPr="00651AA0" w:rsidRDefault="00651AA0" w:rsidP="00001318">
            <w:pPr>
              <w:spacing w:line="240" w:lineRule="auto"/>
              <w:ind w:firstLine="0"/>
              <w:jc w:val="center"/>
              <w:rPr>
                <w:sz w:val="20"/>
                <w:szCs w:val="20"/>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proofErr w:type="spellStart"/>
            <w:r w:rsidRPr="00651AA0">
              <w:rPr>
                <w:sz w:val="20"/>
                <w:szCs w:val="20"/>
                <w:lang w:val="en-US"/>
              </w:rPr>
              <w:t>Среднее</w:t>
            </w:r>
            <w:proofErr w:type="spellEnd"/>
            <w:r w:rsidRPr="00651AA0">
              <w:rPr>
                <w:sz w:val="20"/>
                <w:szCs w:val="20"/>
                <w:lang w:val="en-US"/>
              </w:rPr>
              <w:t xml:space="preserve"> </w:t>
            </w:r>
            <w:proofErr w:type="spellStart"/>
            <w:r w:rsidRPr="00651AA0">
              <w:rPr>
                <w:sz w:val="20"/>
                <w:szCs w:val="20"/>
                <w:lang w:val="en-US"/>
              </w:rPr>
              <w:t>для</w:t>
            </w:r>
            <w:proofErr w:type="spellEnd"/>
            <w:r w:rsidRPr="00651AA0">
              <w:rPr>
                <w:sz w:val="20"/>
                <w:szCs w:val="20"/>
                <w:lang w:val="en-US"/>
              </w:rPr>
              <w:t xml:space="preserve"> </w:t>
            </w:r>
            <w:proofErr w:type="spellStart"/>
            <w:r w:rsidRPr="00651AA0">
              <w:rPr>
                <w:sz w:val="20"/>
                <w:szCs w:val="20"/>
                <w:lang w:val="en-US"/>
              </w:rPr>
              <w:t>эталонной</w:t>
            </w:r>
            <w:proofErr w:type="spellEnd"/>
            <w:r w:rsidRPr="00651AA0">
              <w:rPr>
                <w:sz w:val="20"/>
                <w:szCs w:val="20"/>
                <w:lang w:val="en-US"/>
              </w:rPr>
              <w:t xml:space="preserve"> </w:t>
            </w:r>
            <w:proofErr w:type="spellStart"/>
            <w:r w:rsidRPr="00651AA0">
              <w:rPr>
                <w:sz w:val="20"/>
                <w:szCs w:val="20"/>
                <w:lang w:val="en-US"/>
              </w:rPr>
              <w:t>группы</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21 803</w:t>
            </w:r>
          </w:p>
        </w:tc>
        <w:tc>
          <w:tcPr>
            <w:tcW w:w="1134"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18 862</w:t>
            </w:r>
          </w:p>
        </w:tc>
        <w:tc>
          <w:tcPr>
            <w:tcW w:w="708" w:type="dxa"/>
            <w:tcBorders>
              <w:top w:val="nil"/>
              <w:left w:val="nil"/>
              <w:bottom w:val="single" w:sz="4" w:space="0" w:color="auto"/>
              <w:right w:val="single" w:sz="4" w:space="0" w:color="auto"/>
            </w:tcBorders>
            <w:shd w:val="clear" w:color="auto" w:fill="auto"/>
            <w:vAlign w:val="center"/>
            <w:hideMark/>
          </w:tcPr>
          <w:p w:rsidR="00651AA0" w:rsidRPr="00651AA0" w:rsidRDefault="00651AA0" w:rsidP="00001318">
            <w:pPr>
              <w:spacing w:line="240" w:lineRule="auto"/>
              <w:ind w:firstLine="0"/>
              <w:jc w:val="center"/>
              <w:rPr>
                <w:sz w:val="20"/>
                <w:szCs w:val="20"/>
                <w:lang w:val="en-US"/>
              </w:rPr>
            </w:pPr>
            <w:r w:rsidRPr="00651AA0">
              <w:rPr>
                <w:sz w:val="20"/>
                <w:szCs w:val="20"/>
                <w:lang w:val="en-US"/>
              </w:rPr>
              <w:t>13%</w:t>
            </w:r>
          </w:p>
        </w:tc>
      </w:tr>
    </w:tbl>
    <w:p w:rsidR="00056F78" w:rsidRDefault="00056F78" w:rsidP="00646402"/>
    <w:p w:rsidR="00056F78" w:rsidRDefault="00056F78" w:rsidP="00646402">
      <w:proofErr w:type="gramStart"/>
      <w:r>
        <w:t>Рассмотрение случаев практического использования метода сравнительного прогн</w:t>
      </w:r>
      <w:r>
        <w:t>о</w:t>
      </w:r>
      <w:r>
        <w:t>зирования выявило недостаток в применяемом исследователями подходе: во всех случаях сопоставление результатов проектов эталонной группы проводилось без ранжирования да</w:t>
      </w:r>
      <w:r>
        <w:t>н</w:t>
      </w:r>
      <w:r>
        <w:t>ных проектов по степени соответствия целевому проекту, то есть процедура прогнозиров</w:t>
      </w:r>
      <w:r>
        <w:t>а</w:t>
      </w:r>
      <w:r>
        <w:lastRenderedPageBreak/>
        <w:t>ния основывается на предположении, что все проекты-эталоны с равномерно распределе</w:t>
      </w:r>
      <w:r>
        <w:t>н</w:t>
      </w:r>
      <w:r>
        <w:t>ными весовыми коэффициентами одинаково похожи на целевой проект и, следовательно, оказывают одинаковое влияние на прогнозирование рассматриваемого проекта.</w:t>
      </w:r>
      <w:proofErr w:type="gramEnd"/>
    </w:p>
    <w:p w:rsidR="00056F78" w:rsidRDefault="00056F78" w:rsidP="00646402">
      <w:r>
        <w:t xml:space="preserve">Так, крупнейшее исследование, проведенное </w:t>
      </w:r>
      <w:proofErr w:type="spellStart"/>
      <w:r>
        <w:t>Бентом</w:t>
      </w:r>
      <w:proofErr w:type="spellEnd"/>
      <w:r>
        <w:t xml:space="preserve"> </w:t>
      </w:r>
      <w:proofErr w:type="spellStart"/>
      <w:r>
        <w:t>Фливбергом</w:t>
      </w:r>
      <w:proofErr w:type="spellEnd"/>
      <w:r>
        <w:t>, оценивало резул</w:t>
      </w:r>
      <w:r>
        <w:t>ь</w:t>
      </w:r>
      <w:r>
        <w:t>таты более 200 проектов в сфере транспортной инфраструктуры, не учитывая, однако, мн</w:t>
      </w:r>
      <w:r>
        <w:t>о</w:t>
      </w:r>
      <w:r>
        <w:t>жество факторов, которые могут влиять на величину отклонений. Такие факторы могут включать в себя географическое положение, политические и экономические характеристики государства и общества, которым принадлежит каждый проект, нормативно-правовую базу проекта, величину финансирования, особенности применяемых технологий, подтипы прое</w:t>
      </w:r>
      <w:r>
        <w:t>к</w:t>
      </w:r>
      <w:r>
        <w:t>та (например, проекты по строительству автодорог могут подразумевать строительство как относительно небольших и простых дорог, так и высокотехнологичных, сложных транспор</w:t>
      </w:r>
      <w:r>
        <w:t>т</w:t>
      </w:r>
      <w:r>
        <w:t>ных магистралей). Неучтенное влияние данных факторов отрицательно влияет на точность прогнозирования и приводит к некорректным оценкам со стороны экспертов.</w:t>
      </w:r>
    </w:p>
    <w:p w:rsidR="00056F78" w:rsidRDefault="00056F78" w:rsidP="00646402">
      <w:r>
        <w:t>Для решения проблемы предлагается учитывать степень соответствия каждого прое</w:t>
      </w:r>
      <w:r>
        <w:t>к</w:t>
      </w:r>
      <w:r>
        <w:t>та эталонной группы целевому проекту. Для определения зависимости необходимо опред</w:t>
      </w:r>
      <w:r>
        <w:t>е</w:t>
      </w:r>
      <w:r>
        <w:t xml:space="preserve">лить набор переменных, рассмотреть с использованием методов статистического анализа их значимость и взаимосвязь. </w:t>
      </w:r>
    </w:p>
    <w:p w:rsidR="00056F78" w:rsidRPr="00616035" w:rsidRDefault="00056F78" w:rsidP="00646402">
      <w:r>
        <w:t>Результирующим фактором является фактическая выручка по каждому проекту за год, аналогичным показателем для целевого проекта является прогнозная выручка. Степень в</w:t>
      </w:r>
      <w:r>
        <w:t>ы</w:t>
      </w:r>
      <w:r>
        <w:t>полнения плана по доходам будет определяться регрессионной зависимостью.</w:t>
      </w:r>
    </w:p>
    <w:p w:rsidR="00056F78" w:rsidRPr="00616035" w:rsidRDefault="00056F78" w:rsidP="00646402">
      <w:r w:rsidRPr="00616035">
        <w:t xml:space="preserve">В рамках данной </w:t>
      </w:r>
      <w:r>
        <w:t>статьи</w:t>
      </w:r>
      <w:r w:rsidRPr="00616035">
        <w:t xml:space="preserve"> рассматриваются инвестиционные проекты 2013-2017 гг., из числа которых отобраны проекты эталонной группы, а также целевой проект, запланирова</w:t>
      </w:r>
      <w:r w:rsidRPr="00616035">
        <w:t>н</w:t>
      </w:r>
      <w:r w:rsidRPr="00616035">
        <w:t>ный на будущий период. Рассматриваемым показателем является финансовая отдача от пр</w:t>
      </w:r>
      <w:r w:rsidRPr="00616035">
        <w:t>о</w:t>
      </w:r>
      <w:r w:rsidRPr="00616035">
        <w:t>екта (приростной доход, полученный в результате реализации проекта), в тыс. руб. за отче</w:t>
      </w:r>
      <w:r w:rsidRPr="00616035">
        <w:t>т</w:t>
      </w:r>
      <w:r w:rsidRPr="00616035">
        <w:t>ный год, компаундированная к настоящему моменту (для проектов эталонной группы) по ставке 13,8% (ставка, назначенная приказом по ПАО «Ростелеком» и действительная до ко</w:t>
      </w:r>
      <w:r w:rsidRPr="00616035">
        <w:t>н</w:t>
      </w:r>
      <w:r w:rsidRPr="00616035">
        <w:t>ца 2016 г.).</w:t>
      </w:r>
    </w:p>
    <w:p w:rsidR="00056F78" w:rsidRDefault="00056F78" w:rsidP="00646402">
      <w:r w:rsidRPr="00616035">
        <w:t>Проекты эталонной группы приведены в таблице 1.</w:t>
      </w:r>
    </w:p>
    <w:p w:rsidR="008E4052" w:rsidRDefault="008E4052" w:rsidP="00646402">
      <w:r>
        <w:t>Из рисунка 4 следует, что выполнили или перевыполнили план по доходам лишь 25% проектов эталонной группы, тогда как для 35% величина невыполнения плана доходила до 60%, для 30% проектов этот показатель составлял от 20% до 100% и около 10% (</w:t>
      </w:r>
      <w:r w:rsidR="000C6358">
        <w:t xml:space="preserve">3 проекта </w:t>
      </w:r>
      <w:proofErr w:type="gramStart"/>
      <w:r w:rsidR="000C6358">
        <w:t>из</w:t>
      </w:r>
      <w:proofErr w:type="gramEnd"/>
      <w:r w:rsidR="000C6358">
        <w:t xml:space="preserve"> 32) не выполнили план на величину, превышающую 100%.</w:t>
      </w:r>
    </w:p>
    <w:p w:rsidR="000C6358" w:rsidRDefault="000C6358" w:rsidP="00646402"/>
    <w:p w:rsidR="008E4052" w:rsidRDefault="000C6358" w:rsidP="00646402">
      <w:pPr>
        <w:ind w:firstLine="0"/>
        <w:jc w:val="center"/>
      </w:pPr>
      <w:r>
        <w:rPr>
          <w:noProof/>
          <w:lang w:eastAsia="ru-RU"/>
        </w:rPr>
        <w:lastRenderedPageBreak/>
        <w:drawing>
          <wp:inline distT="0" distB="0" distL="0" distR="0" wp14:anchorId="6203FEAC" wp14:editId="4E4E032C">
            <wp:extent cx="5890161" cy="349218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8608" cy="3509047"/>
                    </a:xfrm>
                    <a:prstGeom prst="rect">
                      <a:avLst/>
                    </a:prstGeom>
                    <a:noFill/>
                  </pic:spPr>
                </pic:pic>
              </a:graphicData>
            </a:graphic>
          </wp:inline>
        </w:drawing>
      </w:r>
    </w:p>
    <w:p w:rsidR="008E4052" w:rsidRDefault="000C6358" w:rsidP="00646402">
      <w:pPr>
        <w:pStyle w:val="ab"/>
      </w:pPr>
      <w:r>
        <w:t xml:space="preserve">Рисунок 4 — Невыполнение плана по доходам </w:t>
      </w:r>
      <w:r w:rsidR="00001318">
        <w:br/>
      </w:r>
      <w:r>
        <w:t>проектов эталонной группы за 2016 г.</w:t>
      </w:r>
    </w:p>
    <w:p w:rsidR="00C21247" w:rsidRPr="00616035" w:rsidRDefault="00C21247" w:rsidP="00646402">
      <w:r w:rsidRPr="00616035">
        <w:t xml:space="preserve">Целевым является проект «Строительство сети ШПД в Приморском крае в 2017 году (2 очередь)» </w:t>
      </w:r>
      <w:r w:rsidRPr="00A96A64">
        <w:t>Приморского филиала. В рамках данного ИП планируется охват 9721 домох</w:t>
      </w:r>
      <w:r w:rsidRPr="00A96A64">
        <w:t>о</w:t>
      </w:r>
      <w:r w:rsidRPr="00A96A64">
        <w:t>зяйств, расположенных</w:t>
      </w:r>
      <w:r w:rsidRPr="00616035">
        <w:t xml:space="preserve"> в городах и селах края.</w:t>
      </w:r>
    </w:p>
    <w:p w:rsidR="000E68E0" w:rsidRPr="00616035" w:rsidRDefault="00C21247" w:rsidP="00646402">
      <w:r w:rsidRPr="00616035">
        <w:t xml:space="preserve">Для взвешенной оценки </w:t>
      </w:r>
      <w:r w:rsidR="00B75530" w:rsidRPr="00616035">
        <w:t>предлагается разделить каждый проект эталонной группы по трем бинарным признакам (1 – «соответствует», 0 – «не соответствует):</w:t>
      </w:r>
    </w:p>
    <w:p w:rsidR="00B75530" w:rsidRPr="00616035" w:rsidRDefault="00B75530" w:rsidP="00646402">
      <w:pPr>
        <w:pStyle w:val="a3"/>
        <w:numPr>
          <w:ilvl w:val="0"/>
          <w:numId w:val="5"/>
        </w:numPr>
      </w:pPr>
      <w:r w:rsidRPr="00616035">
        <w:t xml:space="preserve">регион </w:t>
      </w:r>
      <w:proofErr w:type="spellStart"/>
      <w:r w:rsidRPr="00616035">
        <w:rPr>
          <w:lang w:val="en-US"/>
        </w:rPr>
        <w:t>R</w:t>
      </w:r>
      <w:r w:rsidRPr="00616035">
        <w:rPr>
          <w:i/>
          <w:lang w:val="en-US"/>
        </w:rPr>
        <w:t>i</w:t>
      </w:r>
      <w:proofErr w:type="spellEnd"/>
      <w:r w:rsidRPr="00616035">
        <w:t xml:space="preserve">: совпадение </w:t>
      </w:r>
      <w:proofErr w:type="spellStart"/>
      <w:r w:rsidRPr="00616035">
        <w:rPr>
          <w:i/>
          <w:lang w:val="en-US"/>
        </w:rPr>
        <w:t>i</w:t>
      </w:r>
      <w:proofErr w:type="spellEnd"/>
      <w:r w:rsidRPr="00616035">
        <w:t>-го проекта с целевым</w:t>
      </w:r>
      <w:r w:rsidR="00D7046E" w:rsidRPr="00616035">
        <w:t xml:space="preserve"> проектом</w:t>
      </w:r>
      <w:r w:rsidRPr="00616035">
        <w:t xml:space="preserve"> по географическому ра</w:t>
      </w:r>
      <w:r w:rsidRPr="00616035">
        <w:t>с</w:t>
      </w:r>
      <w:r w:rsidRPr="00616035">
        <w:t>положению;</w:t>
      </w:r>
    </w:p>
    <w:p w:rsidR="00B75530" w:rsidRPr="00616035" w:rsidRDefault="00B75530" w:rsidP="00646402">
      <w:pPr>
        <w:pStyle w:val="a3"/>
        <w:numPr>
          <w:ilvl w:val="0"/>
          <w:numId w:val="5"/>
        </w:numPr>
      </w:pPr>
      <w:r w:rsidRPr="00616035">
        <w:t xml:space="preserve">технология </w:t>
      </w:r>
      <w:proofErr w:type="spellStart"/>
      <w:r w:rsidRPr="00616035">
        <w:rPr>
          <w:lang w:val="en-US"/>
        </w:rPr>
        <w:t>T</w:t>
      </w:r>
      <w:r w:rsidRPr="00616035">
        <w:rPr>
          <w:i/>
          <w:lang w:val="en-US"/>
        </w:rPr>
        <w:t>i</w:t>
      </w:r>
      <w:proofErr w:type="spellEnd"/>
      <w:r w:rsidRPr="00616035">
        <w:t>: совпадение применяемых технологий (</w:t>
      </w:r>
      <w:proofErr w:type="spellStart"/>
      <w:r w:rsidRPr="00616035">
        <w:rPr>
          <w:lang w:val="en-US"/>
        </w:rPr>
        <w:t>MetroEthernet</w:t>
      </w:r>
      <w:proofErr w:type="spellEnd"/>
      <w:r w:rsidRPr="00616035">
        <w:t xml:space="preserve">, </w:t>
      </w:r>
      <w:r w:rsidRPr="00616035">
        <w:rPr>
          <w:lang w:val="en-US"/>
        </w:rPr>
        <w:t>GPON</w:t>
      </w:r>
      <w:r w:rsidRPr="00616035">
        <w:t xml:space="preserve">, </w:t>
      </w:r>
      <w:proofErr w:type="spellStart"/>
      <w:r w:rsidRPr="00616035">
        <w:rPr>
          <w:lang w:val="en-US"/>
        </w:rPr>
        <w:t>xDSL</w:t>
      </w:r>
      <w:proofErr w:type="spellEnd"/>
      <w:r w:rsidRPr="00616035">
        <w:t xml:space="preserve">) в </w:t>
      </w:r>
      <w:proofErr w:type="spellStart"/>
      <w:r w:rsidRPr="00616035">
        <w:rPr>
          <w:i/>
          <w:lang w:val="en-US"/>
        </w:rPr>
        <w:t>i</w:t>
      </w:r>
      <w:proofErr w:type="spellEnd"/>
      <w:r w:rsidRPr="00616035">
        <w:t>-ом проекте эталонной группы и целевом проекте;</w:t>
      </w:r>
    </w:p>
    <w:p w:rsidR="00B75530" w:rsidRPr="00616035" w:rsidRDefault="00B75530" w:rsidP="00646402">
      <w:pPr>
        <w:pStyle w:val="a3"/>
        <w:numPr>
          <w:ilvl w:val="0"/>
          <w:numId w:val="5"/>
        </w:numPr>
      </w:pPr>
      <w:r w:rsidRPr="00616035">
        <w:t xml:space="preserve">Тип населенного пункта </w:t>
      </w:r>
      <w:proofErr w:type="spellStart"/>
      <w:r w:rsidRPr="00616035">
        <w:rPr>
          <w:lang w:val="en-US"/>
        </w:rPr>
        <w:t>HS</w:t>
      </w:r>
      <w:r w:rsidRPr="00616035">
        <w:rPr>
          <w:i/>
          <w:lang w:val="en-US"/>
        </w:rPr>
        <w:t>i</w:t>
      </w:r>
      <w:proofErr w:type="spellEnd"/>
      <w:r w:rsidRPr="00616035">
        <w:t xml:space="preserve">: совпадение типов населенных пунктов, охваченных в рамках </w:t>
      </w:r>
      <w:proofErr w:type="spellStart"/>
      <w:r w:rsidRPr="00616035">
        <w:rPr>
          <w:i/>
          <w:lang w:val="en-US"/>
        </w:rPr>
        <w:t>i</w:t>
      </w:r>
      <w:proofErr w:type="spellEnd"/>
      <w:r w:rsidRPr="00616035">
        <w:t>-го проекта эталонной группы и целевого проекта.</w:t>
      </w:r>
    </w:p>
    <w:p w:rsidR="00B75530" w:rsidRDefault="00616035" w:rsidP="00646402">
      <w:r w:rsidRPr="00616035">
        <w:t>Каждый п</w:t>
      </w:r>
      <w:r w:rsidR="00A96A64">
        <w:t>роект эталонной группы получает собственную оценку значимости, опред</w:t>
      </w:r>
      <w:r w:rsidR="00A96A64">
        <w:t>е</w:t>
      </w:r>
      <w:r w:rsidR="00A96A64">
        <w:t>ляемую по следующей формуле:</w:t>
      </w:r>
    </w:p>
    <w:p w:rsidR="00B04C91" w:rsidRDefault="00B04C91" w:rsidP="00646402"/>
    <w:p w:rsidR="00A96A64" w:rsidRDefault="00EF7052" w:rsidP="00001318">
      <w:pPr>
        <w:jc w:val="right"/>
      </w:pPr>
      <m:oMath>
        <m:sSub>
          <m:sSubPr>
            <m:ctrlPr>
              <w:rPr>
                <w:rFonts w:ascii="Cambria Math" w:hAnsi="Cambria Math"/>
                <w:lang w:val="en-US"/>
              </w:rPr>
            </m:ctrlPr>
          </m:sSubPr>
          <m:e>
            <m:r>
              <w:rPr>
                <w:rFonts w:ascii="Cambria Math" w:hAnsi="Cambria Math"/>
                <w:lang w:val="en-US"/>
              </w:rPr>
              <m:t>S</m:t>
            </m:r>
          </m:e>
          <m:sub>
            <m:r>
              <w:rPr>
                <w:rFonts w:ascii="Cambria Math" w:hAnsi="Cambria Math"/>
                <w:lang w:val="en-US"/>
              </w:rPr>
              <m:t>i</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R</m:t>
            </m:r>
          </m:e>
          <m:sub>
            <m:r>
              <w:rPr>
                <w:rFonts w:ascii="Cambria Math" w:hAnsi="Cambria Math"/>
                <w:lang w:val="en-US"/>
              </w:rPr>
              <m:t>i</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Ri</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Ti</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HS</m:t>
            </m:r>
          </m:e>
          <m:sub>
            <m:r>
              <w:rPr>
                <w:rFonts w:ascii="Cambria Math" w:hAnsi="Cambria Math"/>
                <w:lang w:val="en-US"/>
              </w:rPr>
              <m:t>i</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HSi</m:t>
            </m:r>
          </m:sub>
        </m:sSub>
      </m:oMath>
      <w:r w:rsidR="00A96A64">
        <w:t>,</w:t>
      </w:r>
      <w:r w:rsidR="00001318">
        <w:tab/>
      </w:r>
      <w:r w:rsidR="00001318">
        <w:tab/>
      </w:r>
      <w:r w:rsidR="00001318">
        <w:tab/>
      </w:r>
      <w:r w:rsidR="00A96A64">
        <w:tab/>
        <w:t>(1)</w:t>
      </w:r>
    </w:p>
    <w:p w:rsidR="00B04C91" w:rsidRDefault="00B04C91" w:rsidP="00646402"/>
    <w:p w:rsidR="00594D46" w:rsidRDefault="00A96A64" w:rsidP="00646402">
      <w:r>
        <w:t xml:space="preserve">где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m:t>
            </m:r>
          </m:sub>
        </m:sSub>
      </m:oMath>
      <w:r w:rsidRPr="009A1A33">
        <w:t xml:space="preserve"> </w:t>
      </w:r>
      <w:r w:rsidR="009A1A33">
        <w:t>–</w:t>
      </w:r>
      <w:r>
        <w:t xml:space="preserve"> </w:t>
      </w:r>
      <w:r w:rsidR="009A1A33">
        <w:t xml:space="preserve">уровень сходства эталонного проекта с </w:t>
      </w:r>
      <w:proofErr w:type="gramStart"/>
      <w:r w:rsidR="009A1A33">
        <w:t>целевым</w:t>
      </w:r>
      <w:proofErr w:type="gramEnd"/>
      <w:r w:rsidR="009A1A33">
        <w:t xml:space="preserve">, принимающий значения от 0 до 1;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Ri</m:t>
            </m:r>
          </m:sub>
        </m:sSub>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Ti</m:t>
            </m:r>
          </m:sub>
        </m:sSub>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HSi</m:t>
            </m:r>
          </m:sub>
        </m:sSub>
      </m:oMath>
      <w:r w:rsidR="009A1A33" w:rsidRPr="009A1A33">
        <w:t xml:space="preserve"> </w:t>
      </w:r>
      <w:r w:rsidR="009A1A33">
        <w:t>–</w:t>
      </w:r>
      <w:r w:rsidR="009A1A33" w:rsidRPr="009A1A33">
        <w:t xml:space="preserve"> </w:t>
      </w:r>
      <w:r w:rsidR="009A1A33">
        <w:t xml:space="preserve">весовые </w:t>
      </w:r>
      <w:r w:rsidR="00594D46">
        <w:t xml:space="preserve">коэффициенты, характеризующие важность, соответственно, </w:t>
      </w:r>
      <w:r w:rsidR="00594D46">
        <w:lastRenderedPageBreak/>
        <w:t xml:space="preserve">характеристик </w:t>
      </w:r>
      <w:r w:rsidR="00594D46">
        <w:rPr>
          <w:lang w:val="en-US"/>
        </w:rPr>
        <w:t>R</w:t>
      </w:r>
      <w:r w:rsidR="00594D46" w:rsidRPr="00594D46">
        <w:t xml:space="preserve">, </w:t>
      </w:r>
      <w:r w:rsidR="00594D46">
        <w:rPr>
          <w:lang w:val="en-US"/>
        </w:rPr>
        <w:t>T</w:t>
      </w:r>
      <w:r w:rsidR="00594D46" w:rsidRPr="00594D46">
        <w:t xml:space="preserve"> </w:t>
      </w:r>
      <w:r w:rsidR="00594D46">
        <w:t xml:space="preserve">и </w:t>
      </w:r>
      <w:r w:rsidR="00594D46">
        <w:rPr>
          <w:lang w:val="en-US"/>
        </w:rPr>
        <w:t>HS</w:t>
      </w:r>
      <w:r w:rsidR="00594D46">
        <w:t>,</w:t>
      </w:r>
      <w:r w:rsidR="00E03955">
        <w:t xml:space="preserve"> принимающие значения от 0 до 1 (</w:t>
      </w:r>
      <w:r w:rsidR="00CD5733">
        <w:t xml:space="preserve">в рамках данной работы </w:t>
      </w:r>
      <w:r w:rsidR="00E03955">
        <w:t>знач</w:t>
      </w:r>
      <w:r w:rsidR="00E03955">
        <w:t>е</w:t>
      </w:r>
      <w:r w:rsidR="00E03955">
        <w:t xml:space="preserve">ние определяется </w:t>
      </w:r>
      <w:proofErr w:type="spellStart"/>
      <w:r w:rsidR="00E03955">
        <w:t>экспертно</w:t>
      </w:r>
      <w:proofErr w:type="spellEnd"/>
      <w:r w:rsidR="00CD5733">
        <w:t xml:space="preserv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Ri</m:t>
            </m:r>
          </m:sub>
        </m:sSub>
        <m:r>
          <w:rPr>
            <w:rFonts w:ascii="Cambria Math" w:hAnsi="Cambria Math"/>
          </w:rPr>
          <m:t>=0,5;</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Ti</m:t>
            </m:r>
          </m:sub>
        </m:sSub>
        <m:r>
          <w:rPr>
            <w:rFonts w:ascii="Cambria Math" w:hAnsi="Cambria Math"/>
          </w:rPr>
          <m:t>=0,35,</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HSi</m:t>
            </m:r>
          </m:sub>
        </m:sSub>
        <m:r>
          <w:rPr>
            <w:rFonts w:ascii="Cambria Math" w:hAnsi="Cambria Math"/>
          </w:rPr>
          <m:t>=0,15</m:t>
        </m:r>
      </m:oMath>
      <w:r w:rsidR="00E03955">
        <w:t>).</w:t>
      </w:r>
    </w:p>
    <w:p w:rsidR="00056F78" w:rsidRDefault="00EE63B3" w:rsidP="00646402">
      <w:r>
        <w:t xml:space="preserve">Для показателя </w:t>
      </w:r>
      <w:r>
        <w:rPr>
          <w:lang w:val="en-US"/>
        </w:rPr>
        <w:t>R</w:t>
      </w:r>
      <w:r w:rsidRPr="00EE63B3">
        <w:t xml:space="preserve"> = 1 необходима </w:t>
      </w:r>
      <w:r>
        <w:t xml:space="preserve">географическая </w:t>
      </w:r>
      <w:r w:rsidRPr="00EE63B3">
        <w:t>принадлежность эталонного прое</w:t>
      </w:r>
      <w:r w:rsidRPr="00EE63B3">
        <w:t>к</w:t>
      </w:r>
      <w:r w:rsidRPr="00EE63B3">
        <w:t>та</w:t>
      </w:r>
      <w:r>
        <w:t xml:space="preserve"> к Приморскому краю (Приморскому филиалу, ПФ); для показателя </w:t>
      </w:r>
      <w:r>
        <w:rPr>
          <w:lang w:val="en-US"/>
        </w:rPr>
        <w:t>T</w:t>
      </w:r>
      <w:r w:rsidRPr="00EE63B3">
        <w:t xml:space="preserve"> = 1 </w:t>
      </w:r>
      <w:r>
        <w:t>необходима ре</w:t>
      </w:r>
      <w:r>
        <w:t>а</w:t>
      </w:r>
      <w:r>
        <w:t xml:space="preserve">лизация проекта по технологии </w:t>
      </w:r>
      <w:proofErr w:type="spellStart"/>
      <w:r>
        <w:rPr>
          <w:lang w:val="en-US"/>
        </w:rPr>
        <w:t>MetroEthernet</w:t>
      </w:r>
      <w:proofErr w:type="spellEnd"/>
      <w:r w:rsidRPr="00EE63B3">
        <w:t xml:space="preserve"> (</w:t>
      </w:r>
      <w:r>
        <w:t xml:space="preserve">для технологий </w:t>
      </w:r>
      <w:r>
        <w:rPr>
          <w:lang w:val="en-US"/>
        </w:rPr>
        <w:t>GPON</w:t>
      </w:r>
      <w:r w:rsidRPr="00EE63B3">
        <w:t>/</w:t>
      </w:r>
      <w:proofErr w:type="spellStart"/>
      <w:r>
        <w:rPr>
          <w:lang w:val="en-US"/>
        </w:rPr>
        <w:t>xDSL</w:t>
      </w:r>
      <w:proofErr w:type="spellEnd"/>
      <w:r w:rsidRPr="00EE63B3">
        <w:t xml:space="preserve"> </w:t>
      </w:r>
      <w:r>
        <w:rPr>
          <w:lang w:val="en-US"/>
        </w:rPr>
        <w:t>T</w:t>
      </w:r>
      <w:r w:rsidRPr="00EE63B3">
        <w:t xml:space="preserve"> = 0)</w:t>
      </w:r>
      <w:r>
        <w:t>; для пок</w:t>
      </w:r>
      <w:r>
        <w:t>а</w:t>
      </w:r>
      <w:r>
        <w:t xml:space="preserve">зателя </w:t>
      </w:r>
      <w:r>
        <w:rPr>
          <w:lang w:val="en-US"/>
        </w:rPr>
        <w:t>HS</w:t>
      </w:r>
      <w:r w:rsidRPr="00EE63B3">
        <w:t xml:space="preserve"> = 1 </w:t>
      </w:r>
      <w:r>
        <w:t>необходима реализация проекта в сельских населенных пунктах и малых (до 250 000 чел.) городах.</w:t>
      </w:r>
    </w:p>
    <w:p w:rsidR="00056F78" w:rsidRDefault="00056F78" w:rsidP="00646402">
      <w:r>
        <w:t>В работе рассматриваются</w:t>
      </w:r>
      <w:r w:rsidRPr="00616035">
        <w:t xml:space="preserve"> инвестиционные проекты 2013-2017 гг., из числа которых отобраны проекты эталонной группы, а также целевой проект, запланированный на будущий период. </w:t>
      </w:r>
      <w:r>
        <w:t>Результирующим показателем</w:t>
      </w:r>
      <w:r w:rsidRPr="00616035">
        <w:t xml:space="preserve"> является </w:t>
      </w:r>
      <w:r>
        <w:t>процент невыполнения утвержденного плана по доходам за рассматриваемый период, начинающийся в год реализации каждого проекта (как правило, указанный в наименовании) и заканчивающийся концом 2016 г.</w:t>
      </w:r>
    </w:p>
    <w:p w:rsidR="00056F78" w:rsidRDefault="00056F78" w:rsidP="00646402">
      <w:r>
        <w:t>Данные по фактическим показателям за период выгружены из информационной базы данных «Система объективной отчетности», а также из системы линейно-технического учета разработки компании «</w:t>
      </w:r>
      <w:proofErr w:type="spellStart"/>
      <w:r>
        <w:t>Техноград</w:t>
      </w:r>
      <w:proofErr w:type="spellEnd"/>
      <w:r>
        <w:t>».</w:t>
      </w:r>
    </w:p>
    <w:p w:rsidR="00056F78" w:rsidRDefault="00056F78" w:rsidP="00646402">
      <w:r>
        <w:t>Для корректного соотношения целевого проекта с эталонной группой необходимо оценить степень его соответствия каждому эталонному проекту. Для этого требуется опред</w:t>
      </w:r>
      <w:r>
        <w:t>е</w:t>
      </w:r>
      <w:r>
        <w:t>лить набор коррелирующих переменных и изучить взаимосвязи между ними.</w:t>
      </w:r>
    </w:p>
    <w:p w:rsidR="00056F78" w:rsidRDefault="00056F78" w:rsidP="00646402">
      <w:r>
        <w:t xml:space="preserve">Результирующим фактором является прогнозный доход за </w:t>
      </w:r>
      <w:proofErr w:type="gramStart"/>
      <w:r>
        <w:t>первый полный год</w:t>
      </w:r>
      <w:proofErr w:type="gramEnd"/>
      <w:r>
        <w:t xml:space="preserve"> гор</w:t>
      </w:r>
      <w:r>
        <w:t>и</w:t>
      </w:r>
      <w:r>
        <w:t>зонта планирования.</w:t>
      </w:r>
    </w:p>
    <w:p w:rsidR="00056F78" w:rsidRDefault="00056F78" w:rsidP="00646402">
      <w:r>
        <w:t xml:space="preserve">Были </w:t>
      </w:r>
      <w:r w:rsidRPr="001379EF">
        <w:t>выражены</w:t>
      </w:r>
      <w:r>
        <w:t xml:space="preserve"> следующие переменные, чье влияние на результирующий фактор необходимо определить:</w:t>
      </w:r>
    </w:p>
    <w:p w:rsidR="00056F78" w:rsidRDefault="00056F78" w:rsidP="00B04C91">
      <w:pPr>
        <w:pStyle w:val="a3"/>
        <w:numPr>
          <w:ilvl w:val="0"/>
          <w:numId w:val="9"/>
        </w:numPr>
        <w:ind w:left="0" w:firstLine="709"/>
      </w:pPr>
      <w:r>
        <w:t>ЧДД в тысячах рублей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t>,</w:t>
      </w:r>
    </w:p>
    <w:p w:rsidR="00056F78" w:rsidRDefault="00056F78" w:rsidP="00B04C91">
      <w:pPr>
        <w:pStyle w:val="a3"/>
        <w:numPr>
          <w:ilvl w:val="0"/>
          <w:numId w:val="9"/>
        </w:numPr>
        <w:ind w:left="0" w:firstLine="709"/>
      </w:pPr>
      <w:r>
        <w:t>средний доход за предоставление доступа в Интернет с абонента в тыс. руб.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w:t>
      </w:r>
    </w:p>
    <w:p w:rsidR="00056F78" w:rsidRDefault="00056F78" w:rsidP="00B04C91">
      <w:pPr>
        <w:pStyle w:val="a3"/>
        <w:numPr>
          <w:ilvl w:val="0"/>
          <w:numId w:val="9"/>
        </w:numPr>
        <w:ind w:left="0" w:firstLine="709"/>
      </w:pPr>
      <w:r>
        <w:t xml:space="preserve">количество портов доступа, доступных для подключения абонентов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oMath>
      <w:r>
        <w:t>,</w:t>
      </w:r>
    </w:p>
    <w:p w:rsidR="00056F78" w:rsidRDefault="00056F78" w:rsidP="00B04C91">
      <w:pPr>
        <w:pStyle w:val="a3"/>
        <w:numPr>
          <w:ilvl w:val="0"/>
          <w:numId w:val="9"/>
        </w:numPr>
        <w:ind w:left="0" w:firstLine="709"/>
      </w:pPr>
      <w:r>
        <w:t>соответствие географической зоны охвата Приморскому краю (</w:t>
      </w:r>
      <m:oMath>
        <m:sSub>
          <m:sSubPr>
            <m:ctrlPr>
              <w:rPr>
                <w:rFonts w:ascii="Cambria Math" w:hAnsi="Cambria Math"/>
                <w:i/>
              </w:rPr>
            </m:ctrlPr>
          </m:sSubPr>
          <m:e>
            <m:r>
              <w:rPr>
                <w:rFonts w:ascii="Cambria Math" w:hAnsi="Cambria Math"/>
              </w:rPr>
              <m:t>x</m:t>
            </m:r>
          </m:e>
          <m:sub>
            <m:r>
              <w:rPr>
                <w:rFonts w:ascii="Cambria Math" w:hAnsi="Cambria Math"/>
              </w:rPr>
              <m:t>4</m:t>
            </m:r>
          </m:sub>
        </m:sSub>
      </m:oMath>
      <w:r>
        <w:t>),</w:t>
      </w:r>
    </w:p>
    <w:p w:rsidR="00056F78" w:rsidRDefault="00056F78" w:rsidP="00B04C91">
      <w:pPr>
        <w:pStyle w:val="a3"/>
        <w:numPr>
          <w:ilvl w:val="0"/>
          <w:numId w:val="9"/>
        </w:numPr>
        <w:ind w:left="0" w:firstLine="709"/>
      </w:pPr>
      <w:r>
        <w:t>плановый доход за отчетный период в тыс. руб. (</w:t>
      </w:r>
      <m:oMath>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m:t>
        </m:r>
      </m:oMath>
    </w:p>
    <w:p w:rsidR="00056F78" w:rsidRDefault="00056F78" w:rsidP="00646402">
      <w:r w:rsidRPr="00616035">
        <w:t xml:space="preserve">Проекты эталонной группы приведены в </w:t>
      </w:r>
      <w:r>
        <w:t>таблице А.1</w:t>
      </w:r>
      <w:r w:rsidRPr="00616035">
        <w:t>.</w:t>
      </w:r>
    </w:p>
    <w:p w:rsidR="00056F78" w:rsidRDefault="00056F78" w:rsidP="00646402">
      <w:r>
        <w:t>Таким образом, имеется набор исторических данных, состоящий из пяти факторов и двадцати девяти наблюдений. Все признаки являются количественными.</w:t>
      </w:r>
    </w:p>
    <w:p w:rsidR="00056F78" w:rsidRDefault="00056F78" w:rsidP="00646402">
      <w:r>
        <w:t xml:space="preserve">Так как рассматриваемые факторы не являются идентичными по природе (некоторые переменные являются денежными показателями, иные – натуральными), перед введением новой системы координаты методом главных компонент необходимо их упорядочить. Для этого по следующей формуле было проведено </w:t>
      </w:r>
      <w:proofErr w:type="spellStart"/>
      <w:r>
        <w:t>шкалирование</w:t>
      </w:r>
      <w:proofErr w:type="spellEnd"/>
      <w:r>
        <w:t xml:space="preserve"> данных.</w:t>
      </w:r>
    </w:p>
    <w:p w:rsidR="00056F78" w:rsidRDefault="00056F78" w:rsidP="00646402"/>
    <w:p w:rsidR="00056F78" w:rsidRPr="00585953" w:rsidRDefault="00EF7052" w:rsidP="00001318">
      <w:pPr>
        <w:ind w:firstLine="0"/>
        <w:jc w:val="right"/>
      </w:pP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ij</m:t>
            </m:r>
          </m:sub>
        </m:sSub>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j</m:t>
                </m:r>
              </m:sub>
            </m:sSub>
            <m:r>
              <m:rPr>
                <m:sty m:val="p"/>
              </m:rPr>
              <w:rPr>
                <w:rFonts w:ascii="Cambria Math" w:hAnsi="Cambria Math"/>
              </w:rPr>
              <m:t>)</m:t>
            </m:r>
          </m:num>
          <m:den>
            <m:sSub>
              <m:sSubPr>
                <m:ctrlPr>
                  <w:rPr>
                    <w:rFonts w:ascii="Cambria Math" w:hAnsi="Cambria Math"/>
                  </w:rPr>
                </m:ctrlPr>
              </m:sSubPr>
              <m:e>
                <m:r>
                  <w:rPr>
                    <w:rFonts w:ascii="Cambria Math" w:hAnsi="Cambria Math"/>
                  </w:rPr>
                  <m:t>s</m:t>
                </m:r>
              </m:e>
              <m:sub>
                <m:r>
                  <w:rPr>
                    <w:rFonts w:ascii="Cambria Math" w:hAnsi="Cambria Math"/>
                  </w:rPr>
                  <m:t>j</m:t>
                </m:r>
              </m:sub>
            </m:sSub>
          </m:den>
        </m:f>
      </m:oMath>
      <w:r w:rsidR="00056F78" w:rsidRPr="00585953">
        <w:t>,</w:t>
      </w:r>
      <w:r w:rsidR="00056F78" w:rsidRPr="00585953">
        <w:rPr>
          <w:color w:val="FF0000"/>
        </w:rPr>
        <w:tab/>
      </w:r>
      <w:r w:rsidR="00056F78" w:rsidRPr="00585953">
        <w:rPr>
          <w:color w:val="FF0000"/>
        </w:rPr>
        <w:tab/>
      </w:r>
      <w:r w:rsidR="00001318">
        <w:rPr>
          <w:color w:val="FF0000"/>
        </w:rPr>
        <w:tab/>
      </w:r>
      <w:r w:rsidR="00001318">
        <w:rPr>
          <w:color w:val="FF0000"/>
        </w:rPr>
        <w:tab/>
      </w:r>
      <w:r w:rsidR="00001318">
        <w:rPr>
          <w:color w:val="FF0000"/>
        </w:rPr>
        <w:tab/>
      </w:r>
      <w:r w:rsidR="00056F78" w:rsidRPr="00585953">
        <w:rPr>
          <w:color w:val="FF0000"/>
        </w:rPr>
        <w:tab/>
      </w:r>
      <w:r w:rsidR="00056F78" w:rsidRPr="00585953">
        <w:t>(</w:t>
      </w:r>
      <w:r w:rsidR="00056F78">
        <w:t>2</w:t>
      </w:r>
      <w:r w:rsidR="00056F78" w:rsidRPr="00585953">
        <w:t>)</w:t>
      </w:r>
    </w:p>
    <w:p w:rsidR="00056F78" w:rsidRPr="00090137" w:rsidRDefault="00056F78" w:rsidP="00646402">
      <w:r>
        <w:t xml:space="preserve">где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ij</m:t>
            </m:r>
          </m:sub>
        </m:sSub>
      </m:oMath>
      <w:r w:rsidRPr="00090137">
        <w:t xml:space="preserve"> – </w:t>
      </w:r>
      <w:r w:rsidRPr="002D7097">
        <w:t>нор</w:t>
      </w:r>
      <w:r>
        <w:t xml:space="preserve">мированное </w:t>
      </w:r>
      <m:oMath>
        <m:r>
          <w:rPr>
            <w:rFonts w:ascii="Cambria Math" w:hAnsi="Cambria Math"/>
          </w:rPr>
          <m:t/>
        </m:r>
        <w:proofErr w:type="gramStart"/>
        <m:r>
          <w:rPr>
            <w:rFonts w:ascii="Cambria Math" w:hAnsi="Cambria Math"/>
          </w:rPr>
          <m:t/>
        </m:r>
      </m:oMath>
      <w:r w:rsidRPr="002D7097">
        <w:t>-</w:t>
      </w:r>
      <w:proofErr w:type="gramEnd"/>
      <w:r>
        <w:t xml:space="preserve">е значение </w:t>
      </w:r>
      <m:oMath>
        <m:r>
          <w:rPr>
            <w:rFonts w:ascii="Cambria Math" w:hAnsi="Cambria Math"/>
          </w:rPr>
          <m:t>j</m:t>
        </m:r>
      </m:oMath>
      <w:r w:rsidRPr="002D7097">
        <w:t>-</w:t>
      </w:r>
      <w:proofErr w:type="spellStart"/>
      <w:r>
        <w:t>го</w:t>
      </w:r>
      <w:proofErr w:type="spellEnd"/>
      <w:r>
        <w:t xml:space="preserve"> показателя,</w:t>
      </w:r>
    </w:p>
    <w:p w:rsidR="00056F78" w:rsidRDefault="00056F78" w:rsidP="00646402">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oMath>
      <w:r w:rsidRPr="00090137">
        <w:t xml:space="preserve">– </w:t>
      </w:r>
      <w:r>
        <w:t xml:space="preserve">исходное </w:t>
      </w:r>
      <m:oMath>
        <m:r>
          <w:rPr>
            <w:rFonts w:ascii="Cambria Math" w:hAnsi="Cambria Math"/>
          </w:rPr>
          <m:t/>
        </m:r>
        <w:proofErr w:type="gramStart"/>
        <m:r>
          <w:rPr>
            <w:rFonts w:ascii="Cambria Math" w:hAnsi="Cambria Math"/>
          </w:rPr>
          <m:t/>
        </m:r>
      </m:oMath>
      <w:r w:rsidRPr="002D7097">
        <w:t>-</w:t>
      </w:r>
      <w:proofErr w:type="gramEnd"/>
      <w:r>
        <w:t xml:space="preserve">е значение </w:t>
      </w:r>
      <m:oMath>
        <m:r>
          <w:rPr>
            <w:rFonts w:ascii="Cambria Math" w:hAnsi="Cambria Math"/>
          </w:rPr>
          <m:t>j</m:t>
        </m:r>
      </m:oMath>
      <w:r w:rsidRPr="002D7097">
        <w:t>-</w:t>
      </w:r>
      <w:proofErr w:type="spellStart"/>
      <w:r>
        <w:t>го</w:t>
      </w:r>
      <w:proofErr w:type="spellEnd"/>
      <w:r>
        <w:t xml:space="preserve"> показателя,</w:t>
      </w:r>
    </w:p>
    <w:p w:rsidR="00056F78" w:rsidRDefault="00056F78" w:rsidP="00646402">
      <m:oMath>
        <m:r>
          <w:rPr>
            <w:rFonts w:ascii="Cambria Math" w:hAnsi="Cambria Math"/>
          </w:rPr>
          <m:t xml:space="preserve"> </m:t>
        </m:r>
        <m:sSub>
          <m:sSubPr>
            <m:ctrlPr>
              <w:rPr>
                <w:rFonts w:ascii="Cambria Math" w:hAnsi="Cambria Math"/>
                <w:i/>
              </w:rPr>
            </m:ctrlPr>
          </m:sSubPr>
          <m:e>
            <m:r>
              <w:rPr>
                <w:rFonts w:ascii="Cambria Math" w:hAnsi="Cambria Math"/>
              </w:rPr>
              <m:t xml:space="preserve"> m</m:t>
            </m:r>
          </m:e>
          <m:sub>
            <m:r>
              <w:rPr>
                <w:rFonts w:ascii="Cambria Math" w:hAnsi="Cambria Math"/>
              </w:rPr>
              <m:t>j</m:t>
            </m:r>
          </m:sub>
        </m:sSub>
      </m:oMath>
      <w:r w:rsidRPr="00090137">
        <w:t xml:space="preserve"> – </w:t>
      </w:r>
      <w:r>
        <w:t xml:space="preserve">среднее значение </w:t>
      </w:r>
      <m:oMath>
        <m:r>
          <w:rPr>
            <w:rFonts w:ascii="Cambria Math" w:hAnsi="Cambria Math"/>
          </w:rPr>
          <m:t/>
        </m:r>
        <w:proofErr w:type="gramStart"/>
        <m:r>
          <w:rPr>
            <w:rFonts w:ascii="Cambria Math" w:hAnsi="Cambria Math"/>
          </w:rPr>
          <m:t/>
        </m:r>
      </m:oMath>
      <w:r w:rsidRPr="002D7097">
        <w:t>-</w:t>
      </w:r>
      <w:proofErr w:type="spellStart"/>
      <w:proofErr w:type="gramEnd"/>
      <w:r>
        <w:t>го</w:t>
      </w:r>
      <w:proofErr w:type="spellEnd"/>
      <w:r>
        <w:t xml:space="preserve"> показателя,</w:t>
      </w:r>
    </w:p>
    <w:p w:rsidR="00056F78" w:rsidRPr="001E6832" w:rsidRDefault="00056F78" w:rsidP="00646402">
      <m:oMath>
        <m:r>
          <w:rPr>
            <w:rFonts w:ascii="Cambria Math" w:hAnsi="Cambria Math"/>
          </w:rPr>
          <m:t xml:space="preserve">  </m:t>
        </m:r>
        <m:sSub>
          <m:sSubPr>
            <m:ctrlPr>
              <w:rPr>
                <w:rFonts w:ascii="Cambria Math" w:hAnsi="Cambria Math"/>
                <w:i/>
              </w:rPr>
            </m:ctrlPr>
          </m:sSubPr>
          <m:e>
            <m:r>
              <w:rPr>
                <w:rFonts w:ascii="Cambria Math" w:hAnsi="Cambria Math"/>
              </w:rPr>
              <m:t xml:space="preserve"> s</m:t>
            </m:r>
          </m:e>
          <m:sub>
            <m:r>
              <w:rPr>
                <w:rFonts w:ascii="Cambria Math" w:hAnsi="Cambria Math"/>
              </w:rPr>
              <m:t>j</m:t>
            </m:r>
          </m:sub>
        </m:sSub>
      </m:oMath>
      <w:r w:rsidRPr="00090137">
        <w:t xml:space="preserve"> – </w:t>
      </w:r>
      <w:r>
        <w:t xml:space="preserve">стандартное отклонение </w:t>
      </w:r>
      <m:oMath>
        <m:r>
          <w:rPr>
            <w:rFonts w:ascii="Cambria Math" w:hAnsi="Cambria Math"/>
          </w:rPr>
          <m:t/>
        </m:r>
        <w:proofErr w:type="gramStart"/>
        <m:r>
          <w:rPr>
            <w:rFonts w:ascii="Cambria Math" w:hAnsi="Cambria Math"/>
          </w:rPr>
          <m:t/>
        </m:r>
      </m:oMath>
      <w:r w:rsidRPr="002D7097">
        <w:t>-</w:t>
      </w:r>
      <w:proofErr w:type="spellStart"/>
      <w:proofErr w:type="gramEnd"/>
      <w:r>
        <w:t>го</w:t>
      </w:r>
      <w:proofErr w:type="spellEnd"/>
      <w:r>
        <w:t xml:space="preserve"> показателя</w:t>
      </w:r>
      <w:r w:rsidRPr="00090137">
        <w:t>.</w:t>
      </w:r>
    </w:p>
    <w:p w:rsidR="00056F78" w:rsidRPr="0047004E" w:rsidRDefault="00056F78" w:rsidP="00646402">
      <w:r>
        <w:t xml:space="preserve">Результаты </w:t>
      </w:r>
      <w:proofErr w:type="spellStart"/>
      <w:r>
        <w:t>шкалирования</w:t>
      </w:r>
      <w:proofErr w:type="spellEnd"/>
      <w:r>
        <w:t xml:space="preserve"> представлены в таблице А.2.</w:t>
      </w:r>
    </w:p>
    <w:p w:rsidR="00056F78" w:rsidRDefault="00056F78" w:rsidP="00646402">
      <w:r>
        <w:t>С помощью</w:t>
      </w:r>
      <w:r w:rsidRPr="00B56AF5">
        <w:t xml:space="preserve"> инструмент</w:t>
      </w:r>
      <w:r>
        <w:t>а</w:t>
      </w:r>
      <w:r w:rsidRPr="00B56AF5">
        <w:t xml:space="preserve"> </w:t>
      </w:r>
      <w:r>
        <w:t xml:space="preserve">«Корреляция», встроенного в </w:t>
      </w:r>
      <w:r>
        <w:rPr>
          <w:lang w:val="en-US"/>
        </w:rPr>
        <w:t>MS</w:t>
      </w:r>
      <w:r w:rsidRPr="00B56AF5">
        <w:t xml:space="preserve"> </w:t>
      </w:r>
      <w:r>
        <w:rPr>
          <w:lang w:val="en-US"/>
        </w:rPr>
        <w:t>Excel</w:t>
      </w:r>
      <w:r>
        <w:t>, была получена ма</w:t>
      </w:r>
      <w:r>
        <w:t>т</w:t>
      </w:r>
      <w:r>
        <w:t xml:space="preserve">рица парных коэффициентов корреляции, установлены и исключены коллинеарные факторы. Матрица приведена на рисунке </w:t>
      </w:r>
      <w:r w:rsidR="00001318">
        <w:t>5</w:t>
      </w:r>
      <w:r>
        <w:t>.</w:t>
      </w:r>
    </w:p>
    <w:p w:rsidR="00056F78" w:rsidRPr="00D04E39" w:rsidRDefault="00056F78" w:rsidP="00646402">
      <w:r>
        <w:rPr>
          <w:noProof/>
          <w:lang w:eastAsia="ru-RU"/>
        </w:rPr>
        <w:drawing>
          <wp:inline distT="0" distB="0" distL="0" distR="0" wp14:anchorId="7505C2B8" wp14:editId="790C1270">
            <wp:extent cx="5800725" cy="2124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2124075"/>
                    </a:xfrm>
                    <a:prstGeom prst="rect">
                      <a:avLst/>
                    </a:prstGeom>
                    <a:noFill/>
                    <a:ln>
                      <a:noFill/>
                    </a:ln>
                  </pic:spPr>
                </pic:pic>
              </a:graphicData>
            </a:graphic>
          </wp:inline>
        </w:drawing>
      </w:r>
    </w:p>
    <w:p w:rsidR="00056F78" w:rsidRDefault="00001318" w:rsidP="00646402">
      <w:pPr>
        <w:pStyle w:val="ab"/>
      </w:pPr>
      <w:r>
        <w:t>Рисунок 5 — Матрица парной корреляции</w:t>
      </w:r>
    </w:p>
    <w:p w:rsidR="00056F78" w:rsidRPr="00D8034F" w:rsidRDefault="00056F78" w:rsidP="00646402">
      <w:r>
        <w:t>Из таблицы очевидно наличие отрицательной корреляции между средним доходом на абонента и регионом проекта. Связано это с тем, что переменная «регион» приобретает ма</w:t>
      </w:r>
      <w:r>
        <w:t>к</w:t>
      </w:r>
      <w:r>
        <w:t>симальное значение при полном соответствии географии целевого проекта (Приморский край). При этом рыночная ситуация такова, что средний доход на абонента всегда выше в удаленных районах Дальнего Востока: Республики Саха (Якутия), Магаданской и Сахали</w:t>
      </w:r>
      <w:r>
        <w:t>н</w:t>
      </w:r>
      <w:r>
        <w:t>ской областях, Камчатском крае. В Приморском и Хабаровском краях доход с абонента наименьший по макрорегиону, что обусловлено схемой реализации тарифных планов и в</w:t>
      </w:r>
      <w:r>
        <w:t>е</w:t>
      </w:r>
      <w:r>
        <w:t>личиной абонентской базы, а также техническими возможностями по предоставлению выс</w:t>
      </w:r>
      <w:r>
        <w:t>о</w:t>
      </w:r>
      <w:r>
        <w:t>ких скоростей.</w:t>
      </w:r>
    </w:p>
    <w:p w:rsidR="00056F78" w:rsidRDefault="00056F78" w:rsidP="00646402">
      <w:r>
        <w:t xml:space="preserve">После применения инструмента «Регрессия» </w:t>
      </w:r>
      <w:r>
        <w:rPr>
          <w:lang w:val="en-US"/>
        </w:rPr>
        <w:t>MS</w:t>
      </w:r>
      <w:r w:rsidRPr="00D24FB8">
        <w:t xml:space="preserve"> </w:t>
      </w:r>
      <w:r>
        <w:rPr>
          <w:lang w:val="en-US"/>
        </w:rPr>
        <w:t>Excel</w:t>
      </w:r>
      <w:r>
        <w:t xml:space="preserve"> была получена регрессионная статистика: множественный коэффициент корреляции равен 0,986, коэффициент детермин</w:t>
      </w:r>
      <w:r>
        <w:t>а</w:t>
      </w:r>
      <w:r>
        <w:t xml:space="preserve">ции равен 0,993, средняя ошибка аппроксимации составляет 12%. </w:t>
      </w:r>
    </w:p>
    <w:p w:rsidR="00056F78" w:rsidRDefault="00056F78" w:rsidP="00646402">
      <w:r>
        <w:t>В результате анализа эталонной группы проектов получено уравнение зависимости фактического дохода от определенных входных параметров:</w:t>
      </w:r>
    </w:p>
    <w:p w:rsidR="00056F78" w:rsidRDefault="00056F78" w:rsidP="00646402"/>
    <w:p w:rsidR="00056F78" w:rsidRDefault="00056F78" w:rsidP="00001318">
      <w:pPr>
        <w:jc w:val="right"/>
      </w:pPr>
      <m:oMath>
        <m:r>
          <w:rPr>
            <w:rFonts w:ascii="Cambria Math" w:hAnsi="Cambria Math"/>
            <w:lang w:val="en-US"/>
          </w:rPr>
          <w:lastRenderedPageBreak/>
          <m:t>y</m:t>
        </m:r>
        <m:r>
          <m:rPr>
            <m:sty m:val="p"/>
          </m:rPr>
          <w:rPr>
            <w:rFonts w:ascii="Cambria Math" w:hAnsi="Cambria Math"/>
          </w:rPr>
          <m:t>=0.028</m:t>
        </m:r>
        <m:sSub>
          <m:sSubPr>
            <m:ctrlPr>
              <w:rPr>
                <w:rFonts w:ascii="Cambria Math" w:hAnsi="Cambria Math"/>
                <w:lang w:val="en-US"/>
              </w:rPr>
            </m:ctrlPr>
          </m:sSubPr>
          <m:e>
            <m:r>
              <w:rPr>
                <w:rFonts w:ascii="Cambria Math" w:hAnsi="Cambria Math"/>
                <w:lang w:val="en-US"/>
              </w:rPr>
              <m:t>x</m:t>
            </m:r>
          </m:e>
          <m:sub>
            <m:r>
              <m:rPr>
                <m:sty m:val="p"/>
              </m:rPr>
              <w:rPr>
                <w:rFonts w:ascii="Cambria Math" w:hAnsi="Cambria Math"/>
              </w:rPr>
              <m:t>1</m:t>
            </m:r>
          </m:sub>
        </m:sSub>
        <m:r>
          <m:rPr>
            <m:sty m:val="p"/>
          </m:rPr>
          <w:rPr>
            <w:rFonts w:ascii="Cambria Math" w:hAnsi="Cambria Math"/>
          </w:rPr>
          <m:t>-0.541</m:t>
        </m:r>
        <m:sSub>
          <m:sSubPr>
            <m:ctrlPr>
              <w:rPr>
                <w:rFonts w:ascii="Cambria Math" w:hAnsi="Cambria Math"/>
                <w:lang w:val="en-US"/>
              </w:rPr>
            </m:ctrlPr>
          </m:sSubPr>
          <m:e>
            <m:r>
              <w:rPr>
                <w:rFonts w:ascii="Cambria Math" w:hAnsi="Cambria Math"/>
                <w:lang w:val="en-US"/>
              </w:rPr>
              <m:t>x</m:t>
            </m:r>
          </m:e>
          <m:sub>
            <m:r>
              <m:rPr>
                <m:sty m:val="p"/>
              </m:rPr>
              <w:rPr>
                <w:rFonts w:ascii="Cambria Math" w:hAnsi="Cambria Math"/>
              </w:rPr>
              <m:t>2</m:t>
            </m:r>
          </m:sub>
        </m:sSub>
        <m:r>
          <m:rPr>
            <m:sty m:val="p"/>
          </m:rPr>
          <w:rPr>
            <w:rFonts w:ascii="Cambria Math" w:hAnsi="Cambria Math"/>
          </w:rPr>
          <m:t>-0.232</m:t>
        </m:r>
        <m:sSub>
          <m:sSubPr>
            <m:ctrlPr>
              <w:rPr>
                <w:rFonts w:ascii="Cambria Math" w:hAnsi="Cambria Math"/>
                <w:lang w:val="en-US"/>
              </w:rPr>
            </m:ctrlPr>
          </m:sSubPr>
          <m:e>
            <m:r>
              <w:rPr>
                <w:rFonts w:ascii="Cambria Math" w:hAnsi="Cambria Math"/>
                <w:lang w:val="en-US"/>
              </w:rPr>
              <m:t>x</m:t>
            </m:r>
          </m:e>
          <m:sub>
            <m:r>
              <m:rPr>
                <m:sty m:val="p"/>
              </m:rPr>
              <w:rPr>
                <w:rFonts w:ascii="Cambria Math" w:hAnsi="Cambria Math"/>
              </w:rPr>
              <m:t>3</m:t>
            </m:r>
          </m:sub>
        </m:sSub>
        <m:r>
          <m:rPr>
            <m:sty m:val="p"/>
          </m:rPr>
          <w:rPr>
            <w:rFonts w:ascii="Cambria Math" w:hAnsi="Cambria Math"/>
          </w:rPr>
          <m:t>-108.544</m:t>
        </m:r>
        <m:sSub>
          <m:sSubPr>
            <m:ctrlPr>
              <w:rPr>
                <w:rFonts w:ascii="Cambria Math" w:hAnsi="Cambria Math"/>
                <w:lang w:val="en-US"/>
              </w:rPr>
            </m:ctrlPr>
          </m:sSubPr>
          <m:e>
            <m:r>
              <w:rPr>
                <w:rFonts w:ascii="Cambria Math" w:hAnsi="Cambria Math"/>
                <w:lang w:val="en-US"/>
              </w:rPr>
              <m:t>x</m:t>
            </m:r>
          </m:e>
          <m:sub>
            <m:r>
              <m:rPr>
                <m:sty m:val="p"/>
              </m:rPr>
              <w:rPr>
                <w:rFonts w:ascii="Cambria Math" w:hAnsi="Cambria Math"/>
              </w:rPr>
              <m:t>4</m:t>
            </m:r>
          </m:sub>
        </m:sSub>
        <m:r>
          <m:rPr>
            <m:sty m:val="p"/>
          </m:rPr>
          <w:rPr>
            <w:rFonts w:ascii="Cambria Math" w:hAnsi="Cambria Math"/>
          </w:rPr>
          <m:t>+0.912</m:t>
        </m:r>
        <m:sSub>
          <m:sSubPr>
            <m:ctrlPr>
              <w:rPr>
                <w:rFonts w:ascii="Cambria Math" w:hAnsi="Cambria Math"/>
                <w:lang w:val="en-US"/>
              </w:rPr>
            </m:ctrlPr>
          </m:sSubPr>
          <m:e>
            <m:r>
              <w:rPr>
                <w:rFonts w:ascii="Cambria Math" w:hAnsi="Cambria Math"/>
                <w:lang w:val="en-US"/>
              </w:rPr>
              <m:t>x</m:t>
            </m:r>
          </m:e>
          <m:sub>
            <m:r>
              <m:rPr>
                <m:sty m:val="p"/>
              </m:rPr>
              <w:rPr>
                <w:rFonts w:ascii="Cambria Math" w:hAnsi="Cambria Math"/>
              </w:rPr>
              <m:t>5</m:t>
            </m:r>
          </m:sub>
        </m:sSub>
      </m:oMath>
      <w:r>
        <w:t>.</w:t>
      </w:r>
      <w:r w:rsidRPr="00914C4F">
        <w:t xml:space="preserve"> </w:t>
      </w:r>
      <w:r>
        <w:tab/>
      </w:r>
      <w:r w:rsidR="00001318">
        <w:tab/>
      </w:r>
      <w:r w:rsidRPr="00914C4F">
        <w:t>(</w:t>
      </w:r>
      <w:r>
        <w:t>3</w:t>
      </w:r>
      <w:r w:rsidRPr="00914C4F">
        <w:t>)</w:t>
      </w:r>
    </w:p>
    <w:p w:rsidR="00056F78" w:rsidRDefault="00056F78" w:rsidP="00646402"/>
    <w:p w:rsidR="00056F78" w:rsidRDefault="00056F78" w:rsidP="00646402">
      <w:r>
        <w:t>Применяя данную формулу к целевому проекту, получим прогнозное значение факт</w:t>
      </w:r>
      <w:r>
        <w:t>и</w:t>
      </w:r>
      <w:r>
        <w:t>ческого дохода в будущем периоде равное 23489,33 тыс. руб. При этом заложенный в ТЭО доход составляет 27338 тыс. руб., таким образом, план выполняется лишь на 86%.</w:t>
      </w:r>
    </w:p>
    <w:p w:rsidR="00056F78" w:rsidRDefault="00056F78" w:rsidP="00646402">
      <w:r>
        <w:t>Причины расхождения, в частности, по проектам Приморского филиала, заключаются в основном в сложной конкурентной ситуации на территории края. Конкурентная среда зн</w:t>
      </w:r>
      <w:r>
        <w:t>а</w:t>
      </w:r>
      <w:r>
        <w:t>чительно изменилось в 2014 г. в силу выхода конкурентов компании за пределы крупных г</w:t>
      </w:r>
      <w:r>
        <w:t>о</w:t>
      </w:r>
      <w:r>
        <w:t>родов (Владивосток, Артем, Уссурийск, Находка).</w:t>
      </w:r>
    </w:p>
    <w:p w:rsidR="00056F78" w:rsidRDefault="00056F78" w:rsidP="00646402">
      <w:r>
        <w:t>На основе полученных результатов предлагается заложить в модель расчета эконом</w:t>
      </w:r>
      <w:r>
        <w:t>и</w:t>
      </w:r>
      <w:r>
        <w:t>ческого эффекта целевого проекта и его технико-экономическое обоснование (ТЭО) вероя</w:t>
      </w:r>
      <w:r>
        <w:t>т</w:t>
      </w:r>
      <w:r>
        <w:t xml:space="preserve">ное невыполнение плана по доходам на 14%. </w:t>
      </w:r>
      <w:r w:rsidRPr="005027F9">
        <w:t>С</w:t>
      </w:r>
      <w:r>
        <w:t>ледует скорректировать расчет доходной ч</w:t>
      </w:r>
      <w:r>
        <w:t>а</w:t>
      </w:r>
      <w:r>
        <w:t>сти, исходя из данной предпосылки, после чего заново оценить инвестиционную привлек</w:t>
      </w:r>
      <w:r>
        <w:t>а</w:t>
      </w:r>
      <w:r>
        <w:t>тельность проекта традиционными экономическими инструментами. Изменение планиру</w:t>
      </w:r>
      <w:r>
        <w:t>е</w:t>
      </w:r>
      <w:r>
        <w:t>мой выручки в меньшую сторону ставит под угрозу такие показатели, как удельные кап</w:t>
      </w:r>
      <w:r>
        <w:t>и</w:t>
      </w:r>
      <w:r>
        <w:t xml:space="preserve">тальные вложения (объем затрат на </w:t>
      </w:r>
      <w:r w:rsidRPr="0028583D">
        <w:t>одно</w:t>
      </w:r>
      <w:r>
        <w:t xml:space="preserve"> домохозяйство по проекту), срок окупаемости (что, в свою очередь, грозит выводом проекта из инвестиционного плана на 2017 г.) и ЧДД.</w:t>
      </w:r>
    </w:p>
    <w:p w:rsidR="00056F78" w:rsidRPr="00B079A4" w:rsidRDefault="00056F78" w:rsidP="00646402">
      <w:r>
        <w:t>Таким образом, прое</w:t>
      </w:r>
      <w:proofErr w:type="gramStart"/>
      <w:r>
        <w:t>кт стр</w:t>
      </w:r>
      <w:proofErr w:type="gramEnd"/>
      <w:r>
        <w:t>оительства сетей ШПД в Приморском крае подтверждает тенденцию уже завершенных проектов предыдущих лет. Тренд невыполнения плана по д</w:t>
      </w:r>
      <w:r>
        <w:t>о</w:t>
      </w:r>
      <w:r>
        <w:t xml:space="preserve">ходам характерен как для устаревших проектов по технологиям </w:t>
      </w:r>
      <w:proofErr w:type="spellStart"/>
      <w:r>
        <w:rPr>
          <w:lang w:val="en-US"/>
        </w:rPr>
        <w:t>xDSL</w:t>
      </w:r>
      <w:proofErr w:type="spellEnd"/>
      <w:r>
        <w:t>, так и для более с</w:t>
      </w:r>
      <w:r>
        <w:t>о</w:t>
      </w:r>
      <w:r>
        <w:t>временных инициатив по строительству оптических сетей.</w:t>
      </w:r>
    </w:p>
    <w:p w:rsidR="00056F78" w:rsidRDefault="00056F78" w:rsidP="00646402">
      <w:r>
        <w:t>Можно заключить, что в рамках оценки инвестиционных проектов характерным явл</w:t>
      </w:r>
      <w:r>
        <w:t>я</w:t>
      </w:r>
      <w:r>
        <w:t>ется наличие ошибок и искажений относительно будущих затрат на проект и отдачи от него. Рассмотренная выше процедура оценки проекта с помощью метода сравнительного прогн</w:t>
      </w:r>
      <w:r>
        <w:t>о</w:t>
      </w:r>
      <w:r>
        <w:t>зирования рекомендуется к использованию наряду с устоявшимися способами оценки рисков и повышения точности прогнозов.</w:t>
      </w:r>
    </w:p>
    <w:p w:rsidR="001777C1" w:rsidRDefault="001777C1" w:rsidP="00001318">
      <w:r w:rsidRPr="001777C1">
        <w:t>П</w:t>
      </w:r>
      <w:r>
        <w:t>осле обработки эталонной группы были получены следующие результаты:</w:t>
      </w:r>
    </w:p>
    <w:p w:rsidR="001777C1" w:rsidRDefault="001777C1" w:rsidP="00001318">
      <w:pPr>
        <w:pStyle w:val="a3"/>
        <w:numPr>
          <w:ilvl w:val="0"/>
          <w:numId w:val="6"/>
        </w:numPr>
        <w:tabs>
          <w:tab w:val="left" w:pos="993"/>
        </w:tabs>
        <w:ind w:left="0" w:firstLine="709"/>
      </w:pPr>
      <w:r>
        <w:t>Наиболее высоким уровнем сходства с целевым проектом обладает проект «</w:t>
      </w:r>
      <w:r w:rsidRPr="001777C1">
        <w:t>Д</w:t>
      </w:r>
      <w:r w:rsidRPr="001777C1">
        <w:t>о</w:t>
      </w:r>
      <w:r w:rsidRPr="001777C1">
        <w:t>полнительное строительство сети ШПД в Приморском крае в 2015 году (расширение)</w:t>
      </w:r>
      <w:r>
        <w:t>», о</w:t>
      </w:r>
      <w:r>
        <w:t>б</w:t>
      </w:r>
      <w:r>
        <w:t>ладающий всеми необходимыми признаками: расположением в Приморском крае, аналоги</w:t>
      </w:r>
      <w:r>
        <w:t>ч</w:t>
      </w:r>
      <w:r>
        <w:t xml:space="preserve">ной технологией подключения сетей, а также схожими по численности и </w:t>
      </w:r>
      <w:proofErr w:type="gramStart"/>
      <w:r>
        <w:t>типу</w:t>
      </w:r>
      <w:proofErr w:type="gramEnd"/>
      <w:r>
        <w:t xml:space="preserve"> населенным пунктами. Его уровень соответствия </w:t>
      </w:r>
      <m:oMath>
        <m:sSub>
          <m:sSubPr>
            <m:ctrlPr>
              <w:rPr>
                <w:rFonts w:ascii="Cambria Math" w:hAnsi="Cambria Math"/>
                <w:i/>
                <w:lang w:val="en-US"/>
              </w:rPr>
            </m:ctrlPr>
          </m:sSubPr>
          <m:e>
            <m:r>
              <w:rPr>
                <w:rFonts w:ascii="Cambria Math" w:hAnsi="Cambria Math"/>
                <w:lang w:val="en-US"/>
              </w:rPr>
              <m:t>S</m:t>
            </m:r>
          </m:e>
          <m:sub>
            <m:r>
              <w:rPr>
                <w:rFonts w:ascii="Cambria Math" w:hAnsi="Cambria Math"/>
              </w:rPr>
              <m:t>30</m:t>
            </m:r>
          </m:sub>
        </m:sSub>
        <m:r>
          <w:rPr>
            <w:rFonts w:ascii="Cambria Math" w:hAnsi="Cambria Math"/>
          </w:rPr>
          <m:t>=1</m:t>
        </m:r>
      </m:oMath>
      <w:r>
        <w:t>; невыполнение плана по доходам составило 28% (т.е. план выполнен на 72%).</w:t>
      </w:r>
    </w:p>
    <w:p w:rsidR="000C6358" w:rsidRDefault="000C6358" w:rsidP="00001318">
      <w:pPr>
        <w:pStyle w:val="a3"/>
        <w:numPr>
          <w:ilvl w:val="0"/>
          <w:numId w:val="6"/>
        </w:numPr>
        <w:tabs>
          <w:tab w:val="left" w:pos="993"/>
        </w:tabs>
        <w:ind w:left="0" w:firstLine="709"/>
      </w:pPr>
      <w:proofErr w:type="gramStart"/>
      <w:r>
        <w:t>Вторым наиболее полно соответствующим критериям проектом стал ИП «</w:t>
      </w:r>
      <w:r w:rsidRPr="000C6358">
        <w:t>Допо</w:t>
      </w:r>
      <w:r w:rsidRPr="000C6358">
        <w:t>л</w:t>
      </w:r>
      <w:r w:rsidRPr="000C6358">
        <w:t>нительное строительство сети GPON в Приморском крае</w:t>
      </w:r>
      <w:r>
        <w:t>»; от целевого проекта он отличае</w:t>
      </w:r>
      <w:r>
        <w:t>т</w:t>
      </w:r>
      <w:r>
        <w:lastRenderedPageBreak/>
        <w:t>ся лишь используемой технологией подключения сетей, за счет чего его уровень соотве</w:t>
      </w:r>
      <w:r>
        <w:t>т</w:t>
      </w:r>
      <w:r>
        <w:t xml:space="preserve">ствия </w:t>
      </w:r>
      <m:oMath>
        <m:sSub>
          <m:sSubPr>
            <m:ctrlPr>
              <w:rPr>
                <w:rFonts w:ascii="Cambria Math" w:hAnsi="Cambria Math"/>
                <w:i/>
                <w:lang w:val="en-US"/>
              </w:rPr>
            </m:ctrlPr>
          </m:sSubPr>
          <m:e>
            <m:r>
              <w:rPr>
                <w:rFonts w:ascii="Cambria Math" w:hAnsi="Cambria Math"/>
                <w:lang w:val="en-US"/>
              </w:rPr>
              <m:t>S</m:t>
            </m:r>
          </m:e>
          <m:sub>
            <m:r>
              <w:rPr>
                <w:rFonts w:ascii="Cambria Math" w:hAnsi="Cambria Math"/>
              </w:rPr>
              <m:t>12</m:t>
            </m:r>
          </m:sub>
        </m:sSub>
        <m:r>
          <w:rPr>
            <w:rFonts w:ascii="Cambria Math" w:hAnsi="Cambria Math"/>
          </w:rPr>
          <m:t>=0,65</m:t>
        </m:r>
      </m:oMath>
      <w:r>
        <w:t>;</w:t>
      </w:r>
      <w:r w:rsidRPr="000C6358">
        <w:t xml:space="preserve"> одн</w:t>
      </w:r>
      <w:r>
        <w:t>ако стоит отметить, что обе технологии являются по своей природе о</w:t>
      </w:r>
      <w:r>
        <w:t>п</w:t>
      </w:r>
      <w:r>
        <w:t>тическими и не оказывают существенного влияния на эксплуатацию с точки зрения конечн</w:t>
      </w:r>
      <w:r>
        <w:t>о</w:t>
      </w:r>
      <w:r>
        <w:t>го пользователя;</w:t>
      </w:r>
      <w:proofErr w:type="gramEnd"/>
      <w:r>
        <w:t xml:space="preserve"> невыполнение плана по доходам составило 7% (план выполнен на 93%).</w:t>
      </w:r>
    </w:p>
    <w:p w:rsidR="000C6358" w:rsidRDefault="000C6358" w:rsidP="00001318">
      <w:pPr>
        <w:pStyle w:val="a3"/>
        <w:numPr>
          <w:ilvl w:val="0"/>
          <w:numId w:val="6"/>
        </w:numPr>
        <w:tabs>
          <w:tab w:val="left" w:pos="993"/>
        </w:tabs>
        <w:ind w:left="0" w:firstLine="709"/>
      </w:pPr>
      <w:r>
        <w:t>Среднее невыполнение плана по доходам для данных двух проектов составило 17%;</w:t>
      </w:r>
    </w:p>
    <w:p w:rsidR="000C6358" w:rsidRDefault="000C6358" w:rsidP="00001318">
      <w:pPr>
        <w:pStyle w:val="a3"/>
        <w:numPr>
          <w:ilvl w:val="0"/>
          <w:numId w:val="6"/>
        </w:numPr>
        <w:tabs>
          <w:tab w:val="left" w:pos="993"/>
        </w:tabs>
        <w:ind w:left="0" w:firstLine="709"/>
      </w:pPr>
      <w:r>
        <w:t xml:space="preserve">Проекты с уровнем соответствия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m:t>
            </m:r>
          </m:sub>
        </m:sSub>
        <m:r>
          <w:rPr>
            <w:rFonts w:ascii="Cambria Math" w:hAnsi="Cambria Math"/>
          </w:rPr>
          <m:t>=0,5</m:t>
        </m:r>
      </m:oMath>
      <w:r w:rsidRPr="000C6358">
        <w:t xml:space="preserve"> </w:t>
      </w:r>
      <w:r>
        <w:t>составили 53% от общей численности проектов (17 из 32); среднее невыполнение плана по доходам для них составило 21%.</w:t>
      </w:r>
    </w:p>
    <w:p w:rsidR="000C6358" w:rsidRDefault="000C6358" w:rsidP="00646402">
      <w:r>
        <w:t>На основе полученных результатов предлагается заложить в модель расчета эконом</w:t>
      </w:r>
      <w:r>
        <w:t>и</w:t>
      </w:r>
      <w:r>
        <w:t>ческого эффекта целевого проекта и его технико-экономическое обоснование (ТЭО) вероя</w:t>
      </w:r>
      <w:r>
        <w:t>т</w:t>
      </w:r>
      <w:r>
        <w:t xml:space="preserve">ное невыполнение плана по доходам на 15-20%. </w:t>
      </w:r>
      <w:r w:rsidR="005027F9" w:rsidRPr="005027F9">
        <w:t>С</w:t>
      </w:r>
      <w:r w:rsidR="005027F9">
        <w:t>ледует</w:t>
      </w:r>
      <w:r>
        <w:t xml:space="preserve"> скорректировать расчет доходной части, исходя из данной предпосылки, после чего заново оценить инвестиционную привл</w:t>
      </w:r>
      <w:r>
        <w:t>е</w:t>
      </w:r>
      <w:r>
        <w:t>кательность проекта традиционными экономическими инструментами.</w:t>
      </w:r>
    </w:p>
    <w:p w:rsidR="00E261DC" w:rsidRDefault="000C6358" w:rsidP="00646402">
      <w:r>
        <w:t>Таким образом, можно заключить, что в рамках оценки инвестиционных проектов х</w:t>
      </w:r>
      <w:r>
        <w:t>а</w:t>
      </w:r>
      <w:r>
        <w:t>рактерным является наличие существенных ошибок и искажений относительно будущих з</w:t>
      </w:r>
      <w:r>
        <w:t>а</w:t>
      </w:r>
      <w:r>
        <w:t xml:space="preserve">трат на проект и отдачи от него. </w:t>
      </w:r>
      <w:r w:rsidR="006D3114">
        <w:t>Рассмотренная выше процедура оценки проекта с помощью метода сравнительного прогнозирования рекомендуется к использованию наряду с устоя</w:t>
      </w:r>
      <w:r w:rsidR="006D3114">
        <w:t>в</w:t>
      </w:r>
      <w:r w:rsidR="006D3114">
        <w:t>шимися способами оценки рисков и повышения точности прогнозов.</w:t>
      </w:r>
    </w:p>
    <w:p w:rsidR="000C6358" w:rsidRDefault="000C6358" w:rsidP="00646402"/>
    <w:p w:rsidR="00EF6355" w:rsidRDefault="00EF6355" w:rsidP="00646402">
      <w:r>
        <w:t>Список</w:t>
      </w:r>
      <w:r w:rsidR="00B04C91">
        <w:t xml:space="preserve"> использованной литературы</w:t>
      </w:r>
    </w:p>
    <w:p w:rsidR="00EF6355" w:rsidRDefault="00EF6355" w:rsidP="00646402">
      <w:pPr>
        <w:pStyle w:val="a3"/>
        <w:numPr>
          <w:ilvl w:val="0"/>
          <w:numId w:val="8"/>
        </w:numPr>
        <w:rPr>
          <w:lang w:val="en-US"/>
        </w:rPr>
      </w:pPr>
      <w:r w:rsidRPr="00EF6355">
        <w:rPr>
          <w:lang w:val="en-US"/>
        </w:rPr>
        <w:t>Paving the Way: Maximizing the Value of Private Finance in Infrastructure. World Ec</w:t>
      </w:r>
      <w:r w:rsidRPr="00EF6355">
        <w:rPr>
          <w:lang w:val="en-US"/>
        </w:rPr>
        <w:t>o</w:t>
      </w:r>
      <w:r w:rsidRPr="00EF6355">
        <w:rPr>
          <w:lang w:val="en-US"/>
        </w:rPr>
        <w:t>nomic Forum. – 2010.</w:t>
      </w:r>
    </w:p>
    <w:p w:rsidR="00EF6355" w:rsidRPr="00CD20A8" w:rsidRDefault="00EF6355" w:rsidP="00646402">
      <w:pPr>
        <w:pStyle w:val="a3"/>
        <w:numPr>
          <w:ilvl w:val="0"/>
          <w:numId w:val="8"/>
        </w:numPr>
        <w:rPr>
          <w:rStyle w:val="citation"/>
          <w:lang w:val="en-US"/>
        </w:rPr>
      </w:pPr>
      <w:proofErr w:type="spellStart"/>
      <w:r w:rsidRPr="007F5553">
        <w:rPr>
          <w:lang w:val="en-US"/>
        </w:rPr>
        <w:t>Kahneman</w:t>
      </w:r>
      <w:proofErr w:type="spellEnd"/>
      <w:r w:rsidRPr="007F5553">
        <w:rPr>
          <w:lang w:val="en-US"/>
        </w:rPr>
        <w:t xml:space="preserve">, D. &amp; </w:t>
      </w:r>
      <w:proofErr w:type="spellStart"/>
      <w:r w:rsidRPr="007F5553">
        <w:rPr>
          <w:lang w:val="en-US"/>
        </w:rPr>
        <w:t>Tversky</w:t>
      </w:r>
      <w:proofErr w:type="spellEnd"/>
      <w:r w:rsidRPr="007F5553">
        <w:rPr>
          <w:lang w:val="en-US"/>
        </w:rPr>
        <w:t>, A. (1979b) Intuitive prediction: Biases and corrective proc</w:t>
      </w:r>
      <w:r w:rsidRPr="007F5553">
        <w:rPr>
          <w:lang w:val="en-US"/>
        </w:rPr>
        <w:t>e</w:t>
      </w:r>
      <w:r w:rsidRPr="007F5553">
        <w:rPr>
          <w:lang w:val="en-US"/>
        </w:rPr>
        <w:t xml:space="preserve">dures, in: S. </w:t>
      </w:r>
      <w:proofErr w:type="spellStart"/>
      <w:r w:rsidRPr="007F5553">
        <w:rPr>
          <w:lang w:val="en-US"/>
        </w:rPr>
        <w:t>Makridakis</w:t>
      </w:r>
      <w:proofErr w:type="spellEnd"/>
      <w:r w:rsidRPr="007F5553">
        <w:rPr>
          <w:lang w:val="en-US"/>
        </w:rPr>
        <w:t xml:space="preserve"> &amp; S. C. Wheelwright (</w:t>
      </w:r>
      <w:proofErr w:type="spellStart"/>
      <w:r w:rsidRPr="007F5553">
        <w:rPr>
          <w:lang w:val="en-US"/>
        </w:rPr>
        <w:t>Eds</w:t>
      </w:r>
      <w:proofErr w:type="spellEnd"/>
      <w:r w:rsidRPr="007F5553">
        <w:rPr>
          <w:lang w:val="en-US"/>
        </w:rPr>
        <w:t>) Studies in the Management Scien</w:t>
      </w:r>
      <w:r w:rsidRPr="007F5553">
        <w:rPr>
          <w:lang w:val="en-US"/>
        </w:rPr>
        <w:t>c</w:t>
      </w:r>
      <w:r w:rsidRPr="007F5553">
        <w:rPr>
          <w:lang w:val="en-US"/>
        </w:rPr>
        <w:t>es: Forecasting, p. 12 (Amsterdam: North Holland).</w:t>
      </w:r>
      <w:r w:rsidRPr="00CD20A8">
        <w:rPr>
          <w:rStyle w:val="citation"/>
          <w:iCs/>
          <w:color w:val="252525"/>
          <w:lang w:val="en-US"/>
        </w:rPr>
        <w:t xml:space="preserve"> </w:t>
      </w:r>
      <w:proofErr w:type="spellStart"/>
      <w:r w:rsidRPr="00CD20A8">
        <w:rPr>
          <w:rStyle w:val="citation"/>
          <w:iCs/>
          <w:color w:val="252525"/>
          <w:lang w:val="en-US"/>
        </w:rPr>
        <w:t>Parmenter</w:t>
      </w:r>
      <w:proofErr w:type="spellEnd"/>
      <w:r w:rsidRPr="00CD20A8">
        <w:rPr>
          <w:rStyle w:val="citation"/>
          <w:iCs/>
          <w:color w:val="252525"/>
          <w:lang w:val="en-US"/>
        </w:rPr>
        <w:t xml:space="preserve"> David,</w:t>
      </w:r>
      <w:r w:rsidRPr="00CD20A8">
        <w:rPr>
          <w:rStyle w:val="apple-converted-space"/>
          <w:color w:val="252525"/>
          <w:lang w:val="en-US"/>
        </w:rPr>
        <w:t> </w:t>
      </w:r>
      <w:r w:rsidRPr="00CD20A8">
        <w:rPr>
          <w:rStyle w:val="citation"/>
          <w:color w:val="252525"/>
          <w:lang w:val="en-US"/>
        </w:rPr>
        <w:t xml:space="preserve">Key Performance Indicators: Developing, Implementing and Using Winning KPI's. / </w:t>
      </w:r>
      <w:r>
        <w:rPr>
          <w:rStyle w:val="citation"/>
          <w:color w:val="252525"/>
          <w:lang w:val="en-US"/>
        </w:rPr>
        <w:t xml:space="preserve">David </w:t>
      </w:r>
      <w:proofErr w:type="spellStart"/>
      <w:r>
        <w:rPr>
          <w:rStyle w:val="citation"/>
          <w:color w:val="252525"/>
          <w:lang w:val="en-US"/>
        </w:rPr>
        <w:t>Parmenter</w:t>
      </w:r>
      <w:proofErr w:type="spellEnd"/>
      <w:r>
        <w:rPr>
          <w:rStyle w:val="citation"/>
          <w:color w:val="252525"/>
          <w:lang w:val="en-US"/>
        </w:rPr>
        <w:t xml:space="preserve">. </w:t>
      </w:r>
      <w:r w:rsidRPr="00CD20A8">
        <w:rPr>
          <w:rStyle w:val="citation"/>
          <w:color w:val="252525"/>
          <w:lang w:val="en-US"/>
        </w:rPr>
        <w:t xml:space="preserve">— New Jersey, USA: John Wiley &amp; Sons, </w:t>
      </w:r>
      <w:proofErr w:type="spellStart"/>
      <w:r w:rsidRPr="00CD20A8">
        <w:rPr>
          <w:rStyle w:val="citation"/>
          <w:color w:val="252525"/>
          <w:lang w:val="en-US"/>
        </w:rPr>
        <w:t>inc.</w:t>
      </w:r>
      <w:proofErr w:type="spellEnd"/>
      <w:r w:rsidRPr="00CD20A8">
        <w:rPr>
          <w:rStyle w:val="citation"/>
          <w:color w:val="252525"/>
          <w:lang w:val="en-US"/>
        </w:rPr>
        <w:t>, 2007. —</w:t>
      </w:r>
      <w:r>
        <w:rPr>
          <w:rStyle w:val="citation"/>
          <w:color w:val="252525"/>
          <w:lang w:val="en-US"/>
        </w:rPr>
        <w:t> </w:t>
      </w:r>
      <w:r w:rsidRPr="00CD20A8">
        <w:rPr>
          <w:rStyle w:val="citation"/>
          <w:color w:val="252525"/>
          <w:lang w:val="en-US"/>
        </w:rPr>
        <w:t>233</w:t>
      </w:r>
      <w:r>
        <w:rPr>
          <w:rStyle w:val="citation"/>
          <w:color w:val="252525"/>
          <w:lang w:val="en-US"/>
        </w:rPr>
        <w:t xml:space="preserve"> c</w:t>
      </w:r>
      <w:r w:rsidRPr="00CD20A8">
        <w:rPr>
          <w:rStyle w:val="citation"/>
          <w:color w:val="252525"/>
          <w:lang w:val="en-US"/>
        </w:rPr>
        <w:t>. </w:t>
      </w:r>
    </w:p>
    <w:p w:rsidR="00EF6355" w:rsidRDefault="00EF6355" w:rsidP="00646402">
      <w:pPr>
        <w:pStyle w:val="a3"/>
        <w:numPr>
          <w:ilvl w:val="0"/>
          <w:numId w:val="8"/>
        </w:numPr>
        <w:rPr>
          <w:lang w:val="en-US"/>
        </w:rPr>
      </w:pPr>
      <w:proofErr w:type="spellStart"/>
      <w:r w:rsidRPr="007F5553">
        <w:rPr>
          <w:lang w:val="en-US"/>
        </w:rPr>
        <w:t>Kahneman</w:t>
      </w:r>
      <w:proofErr w:type="spellEnd"/>
      <w:r w:rsidRPr="007F5553">
        <w:rPr>
          <w:lang w:val="en-US"/>
        </w:rPr>
        <w:t xml:space="preserve">, D. &amp; </w:t>
      </w:r>
      <w:proofErr w:type="spellStart"/>
      <w:r w:rsidRPr="007F5553">
        <w:rPr>
          <w:lang w:val="en-US"/>
        </w:rPr>
        <w:t>Tversky</w:t>
      </w:r>
      <w:proofErr w:type="spellEnd"/>
      <w:r w:rsidRPr="007F5553">
        <w:rPr>
          <w:lang w:val="en-US"/>
        </w:rPr>
        <w:t xml:space="preserve">, A. (1979a) Prospect theory: An analysis of decisions under risk, </w:t>
      </w:r>
      <w:proofErr w:type="spellStart"/>
      <w:r w:rsidRPr="007F5553">
        <w:rPr>
          <w:lang w:val="en-US"/>
        </w:rPr>
        <w:t>Econometrica</w:t>
      </w:r>
      <w:proofErr w:type="spellEnd"/>
      <w:r w:rsidRPr="007F5553">
        <w:rPr>
          <w:lang w:val="en-US"/>
        </w:rPr>
        <w:t>, 47, pp. 313–327.</w:t>
      </w:r>
    </w:p>
    <w:p w:rsidR="00EF6355" w:rsidRDefault="00EF6355" w:rsidP="00646402">
      <w:pPr>
        <w:pStyle w:val="a3"/>
        <w:numPr>
          <w:ilvl w:val="0"/>
          <w:numId w:val="8"/>
        </w:numPr>
        <w:rPr>
          <w:lang w:val="en-US"/>
        </w:rPr>
      </w:pPr>
      <w:proofErr w:type="spellStart"/>
      <w:r>
        <w:rPr>
          <w:lang w:val="en-US"/>
        </w:rPr>
        <w:t>Flyvbjerg</w:t>
      </w:r>
      <w:proofErr w:type="spellEnd"/>
      <w:r>
        <w:rPr>
          <w:lang w:val="en-US"/>
        </w:rPr>
        <w:t xml:space="preserve">, B. &amp; </w:t>
      </w:r>
      <w:proofErr w:type="spellStart"/>
      <w:r>
        <w:rPr>
          <w:lang w:val="en-US"/>
        </w:rPr>
        <w:t>Cowi</w:t>
      </w:r>
      <w:proofErr w:type="spellEnd"/>
      <w:r>
        <w:rPr>
          <w:lang w:val="en-US"/>
        </w:rPr>
        <w:t>, (20</w:t>
      </w:r>
      <w:r w:rsidRPr="004731F1">
        <w:rPr>
          <w:lang w:val="en-US"/>
        </w:rPr>
        <w:t>11) Procedures for Dealing with Optimism Bias in Transport Planning: Guidance Document (London: UK Department for Transport).</w:t>
      </w:r>
    </w:p>
    <w:p w:rsidR="00EF6355" w:rsidRDefault="00EF6355" w:rsidP="00646402">
      <w:pPr>
        <w:pStyle w:val="a3"/>
        <w:numPr>
          <w:ilvl w:val="0"/>
          <w:numId w:val="8"/>
        </w:numPr>
        <w:rPr>
          <w:lang w:val="en-US"/>
        </w:rPr>
      </w:pPr>
      <w:proofErr w:type="spellStart"/>
      <w:r w:rsidRPr="00EF6355">
        <w:rPr>
          <w:lang w:val="en-US"/>
        </w:rPr>
        <w:t>Flyvbjerg</w:t>
      </w:r>
      <w:proofErr w:type="spellEnd"/>
      <w:r w:rsidRPr="00EF6355">
        <w:rPr>
          <w:lang w:val="en-US"/>
        </w:rPr>
        <w:t xml:space="preserve"> B. Policy and planning for Large Infrastructure Projects: Problems, Causes, Cures. – World Bank Policy Research Working Paper 3781. – December 2005. </w:t>
      </w:r>
    </w:p>
    <w:p w:rsidR="00EF6355" w:rsidRDefault="00EF6355" w:rsidP="00646402">
      <w:pPr>
        <w:pStyle w:val="a3"/>
        <w:numPr>
          <w:ilvl w:val="0"/>
          <w:numId w:val="8"/>
        </w:numPr>
        <w:rPr>
          <w:lang w:val="en-US"/>
        </w:rPr>
      </w:pPr>
      <w:proofErr w:type="spellStart"/>
      <w:r w:rsidRPr="00EF6355">
        <w:rPr>
          <w:lang w:val="en-US"/>
        </w:rPr>
        <w:t>Pickrell</w:t>
      </w:r>
      <w:proofErr w:type="spellEnd"/>
      <w:r w:rsidRPr="00EF6355">
        <w:rPr>
          <w:lang w:val="en-US"/>
        </w:rPr>
        <w:t xml:space="preserve"> D. Urban Rail Transit Projects: Forecasts </w:t>
      </w:r>
      <w:proofErr w:type="gramStart"/>
      <w:r w:rsidRPr="00EF6355">
        <w:rPr>
          <w:lang w:val="en-US"/>
        </w:rPr>
        <w:t>Versus</w:t>
      </w:r>
      <w:proofErr w:type="gramEnd"/>
      <w:r w:rsidRPr="00EF6355">
        <w:rPr>
          <w:lang w:val="en-US"/>
        </w:rPr>
        <w:t xml:space="preserve"> Actual Ridership and Cost. Washington, </w:t>
      </w:r>
      <w:proofErr w:type="gramStart"/>
      <w:r w:rsidRPr="00EF6355">
        <w:rPr>
          <w:lang w:val="en-US"/>
        </w:rPr>
        <w:t>D.C..</w:t>
      </w:r>
      <w:proofErr w:type="gramEnd"/>
      <w:r w:rsidRPr="00EF6355">
        <w:rPr>
          <w:lang w:val="en-US"/>
        </w:rPr>
        <w:t xml:space="preserve"> Department of Transportation. – 1990.</w:t>
      </w:r>
    </w:p>
    <w:p w:rsidR="00EF6355" w:rsidRDefault="00EF6355" w:rsidP="00646402">
      <w:pPr>
        <w:pStyle w:val="a3"/>
        <w:numPr>
          <w:ilvl w:val="0"/>
          <w:numId w:val="8"/>
        </w:numPr>
        <w:rPr>
          <w:lang w:val="en-US"/>
        </w:rPr>
      </w:pPr>
      <w:proofErr w:type="spellStart"/>
      <w:r w:rsidRPr="00EF6355">
        <w:rPr>
          <w:lang w:val="en-US"/>
        </w:rPr>
        <w:lastRenderedPageBreak/>
        <w:t>Odeck</w:t>
      </w:r>
      <w:proofErr w:type="spellEnd"/>
      <w:r w:rsidRPr="00EF6355">
        <w:rPr>
          <w:lang w:val="en-US"/>
        </w:rPr>
        <w:t xml:space="preserve"> J. “Cost Overruns in Road construction – What Are their Sizes and Determ</w:t>
      </w:r>
      <w:r w:rsidRPr="00EF6355">
        <w:rPr>
          <w:lang w:val="en-US"/>
        </w:rPr>
        <w:t>i</w:t>
      </w:r>
      <w:r w:rsidRPr="00EF6355">
        <w:rPr>
          <w:lang w:val="en-US"/>
        </w:rPr>
        <w:t>nants?” // Transport Policy. 11 (1):43–53. – 2004.</w:t>
      </w:r>
    </w:p>
    <w:p w:rsidR="00EF6355" w:rsidRPr="00EF6355" w:rsidRDefault="00EF6355" w:rsidP="00646402">
      <w:pPr>
        <w:pStyle w:val="a3"/>
        <w:numPr>
          <w:ilvl w:val="0"/>
          <w:numId w:val="8"/>
        </w:numPr>
        <w:rPr>
          <w:lang w:val="en-US"/>
        </w:rPr>
      </w:pPr>
      <w:r w:rsidRPr="00EF6355">
        <w:rPr>
          <w:lang w:val="en-US"/>
        </w:rPr>
        <w:t>Estimating Toll Road Demand and Revenue. NCHRP Synthesis 364. Transportation R</w:t>
      </w:r>
      <w:r w:rsidRPr="00EF6355">
        <w:rPr>
          <w:lang w:val="en-US"/>
        </w:rPr>
        <w:t>e</w:t>
      </w:r>
      <w:r w:rsidRPr="00EF6355">
        <w:rPr>
          <w:lang w:val="en-US"/>
        </w:rPr>
        <w:t>search Board of the National Academies. – 2006.</w:t>
      </w:r>
    </w:p>
    <w:sectPr w:rsidR="00EF6355" w:rsidRPr="00EF6355" w:rsidSect="003353A2">
      <w:pgSz w:w="11906" w:h="16838"/>
      <w:pgMar w:top="1134" w:right="1134" w:bottom="1134" w:left="1134" w:header="73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78" w:rsidRDefault="00056F78" w:rsidP="00646402">
      <w:r>
        <w:separator/>
      </w:r>
    </w:p>
  </w:endnote>
  <w:endnote w:type="continuationSeparator" w:id="0">
    <w:p w:rsidR="00056F78" w:rsidRDefault="00056F78" w:rsidP="0064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78" w:rsidRDefault="00056F78" w:rsidP="00646402">
      <w:r>
        <w:separator/>
      </w:r>
    </w:p>
  </w:footnote>
  <w:footnote w:type="continuationSeparator" w:id="0">
    <w:p w:rsidR="00056F78" w:rsidRDefault="00056F78" w:rsidP="00646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E8A"/>
    <w:multiLevelType w:val="hybridMultilevel"/>
    <w:tmpl w:val="6BB8FDFE"/>
    <w:lvl w:ilvl="0" w:tplc="86862A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BE66C29"/>
    <w:multiLevelType w:val="hybridMultilevel"/>
    <w:tmpl w:val="D7406112"/>
    <w:lvl w:ilvl="0" w:tplc="7082A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0E3D95"/>
    <w:multiLevelType w:val="hybridMultilevel"/>
    <w:tmpl w:val="7638A88E"/>
    <w:lvl w:ilvl="0" w:tplc="C0CCCE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0511335"/>
    <w:multiLevelType w:val="hybridMultilevel"/>
    <w:tmpl w:val="49CC70FA"/>
    <w:lvl w:ilvl="0" w:tplc="5F06E80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94A52"/>
    <w:multiLevelType w:val="hybridMultilevel"/>
    <w:tmpl w:val="04F4812C"/>
    <w:lvl w:ilvl="0" w:tplc="A40250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3255DD7"/>
    <w:multiLevelType w:val="hybridMultilevel"/>
    <w:tmpl w:val="AED01146"/>
    <w:lvl w:ilvl="0" w:tplc="97B20A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6F907E2"/>
    <w:multiLevelType w:val="hybridMultilevel"/>
    <w:tmpl w:val="4740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1C6E03"/>
    <w:multiLevelType w:val="hybridMultilevel"/>
    <w:tmpl w:val="663A5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num>
  <w:num w:numId="2">
    <w:abstractNumId w:val="1"/>
  </w:num>
  <w:num w:numId="3">
    <w:abstractNumId w:val="7"/>
  </w:num>
  <w:num w:numId="4">
    <w:abstractNumId w:val="6"/>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8E"/>
    <w:rsid w:val="00001318"/>
    <w:rsid w:val="000242D1"/>
    <w:rsid w:val="00056F78"/>
    <w:rsid w:val="00093C06"/>
    <w:rsid w:val="000C6358"/>
    <w:rsid w:val="000E68E0"/>
    <w:rsid w:val="000F012C"/>
    <w:rsid w:val="001635FC"/>
    <w:rsid w:val="001777C1"/>
    <w:rsid w:val="002C7734"/>
    <w:rsid w:val="002D67A9"/>
    <w:rsid w:val="003353A2"/>
    <w:rsid w:val="003512FA"/>
    <w:rsid w:val="0035643D"/>
    <w:rsid w:val="00376548"/>
    <w:rsid w:val="004569B9"/>
    <w:rsid w:val="005024A7"/>
    <w:rsid w:val="005027F9"/>
    <w:rsid w:val="00594D46"/>
    <w:rsid w:val="005F403F"/>
    <w:rsid w:val="00607341"/>
    <w:rsid w:val="00616035"/>
    <w:rsid w:val="00646402"/>
    <w:rsid w:val="00651AA0"/>
    <w:rsid w:val="00680051"/>
    <w:rsid w:val="006A495A"/>
    <w:rsid w:val="006D3114"/>
    <w:rsid w:val="007B0D96"/>
    <w:rsid w:val="007B21A1"/>
    <w:rsid w:val="007E3D0A"/>
    <w:rsid w:val="007F578E"/>
    <w:rsid w:val="00827B1A"/>
    <w:rsid w:val="008E4052"/>
    <w:rsid w:val="009056BF"/>
    <w:rsid w:val="00907FF9"/>
    <w:rsid w:val="00932545"/>
    <w:rsid w:val="00971DDC"/>
    <w:rsid w:val="009A1A33"/>
    <w:rsid w:val="00A96A64"/>
    <w:rsid w:val="00AA7BB5"/>
    <w:rsid w:val="00B04C91"/>
    <w:rsid w:val="00B25ABB"/>
    <w:rsid w:val="00B53FFC"/>
    <w:rsid w:val="00B57592"/>
    <w:rsid w:val="00B75530"/>
    <w:rsid w:val="00B76483"/>
    <w:rsid w:val="00BB1EB1"/>
    <w:rsid w:val="00BC6BFA"/>
    <w:rsid w:val="00BE0B33"/>
    <w:rsid w:val="00C065D3"/>
    <w:rsid w:val="00C21247"/>
    <w:rsid w:val="00CD5733"/>
    <w:rsid w:val="00D256FB"/>
    <w:rsid w:val="00D5294E"/>
    <w:rsid w:val="00D7046E"/>
    <w:rsid w:val="00E03955"/>
    <w:rsid w:val="00E261DC"/>
    <w:rsid w:val="00E54CCB"/>
    <w:rsid w:val="00E94BE3"/>
    <w:rsid w:val="00EC25B7"/>
    <w:rsid w:val="00EE63B3"/>
    <w:rsid w:val="00EF6355"/>
    <w:rsid w:val="00EF7052"/>
    <w:rsid w:val="00F80AF7"/>
    <w:rsid w:val="00FE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02"/>
    <w:pPr>
      <w:spacing w:after="0" w:line="360" w:lineRule="auto"/>
      <w:ind w:firstLine="709"/>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78E"/>
    <w:pPr>
      <w:ind w:left="720"/>
      <w:contextualSpacing/>
    </w:pPr>
  </w:style>
  <w:style w:type="character" w:styleId="a4">
    <w:name w:val="Placeholder Text"/>
    <w:basedOn w:val="a0"/>
    <w:uiPriority w:val="99"/>
    <w:semiHidden/>
    <w:rsid w:val="00A96A64"/>
    <w:rPr>
      <w:color w:val="808080"/>
    </w:rPr>
  </w:style>
  <w:style w:type="character" w:styleId="a5">
    <w:name w:val="Hyperlink"/>
    <w:basedOn w:val="a0"/>
    <w:uiPriority w:val="99"/>
    <w:unhideWhenUsed/>
    <w:rsid w:val="00BE0B33"/>
    <w:rPr>
      <w:color w:val="0563C1" w:themeColor="hyperlink"/>
      <w:u w:val="single"/>
    </w:rPr>
  </w:style>
  <w:style w:type="paragraph" w:styleId="a6">
    <w:name w:val="header"/>
    <w:basedOn w:val="a"/>
    <w:link w:val="a7"/>
    <w:uiPriority w:val="99"/>
    <w:unhideWhenUsed/>
    <w:rsid w:val="003353A2"/>
    <w:pPr>
      <w:tabs>
        <w:tab w:val="center" w:pos="4680"/>
        <w:tab w:val="right" w:pos="9360"/>
      </w:tabs>
      <w:spacing w:line="240" w:lineRule="auto"/>
    </w:pPr>
  </w:style>
  <w:style w:type="character" w:customStyle="1" w:styleId="a7">
    <w:name w:val="Верхний колонтитул Знак"/>
    <w:basedOn w:val="a0"/>
    <w:link w:val="a6"/>
    <w:uiPriority w:val="99"/>
    <w:rsid w:val="003353A2"/>
    <w:rPr>
      <w:rFonts w:ascii="Times New Roman" w:eastAsia="Calibri" w:hAnsi="Times New Roman" w:cs="Times New Roman"/>
      <w:sz w:val="24"/>
      <w:szCs w:val="24"/>
    </w:rPr>
  </w:style>
  <w:style w:type="paragraph" w:styleId="a8">
    <w:name w:val="footer"/>
    <w:basedOn w:val="a"/>
    <w:link w:val="a9"/>
    <w:uiPriority w:val="99"/>
    <w:unhideWhenUsed/>
    <w:rsid w:val="003353A2"/>
    <w:pPr>
      <w:tabs>
        <w:tab w:val="center" w:pos="4680"/>
        <w:tab w:val="right" w:pos="9360"/>
      </w:tabs>
      <w:spacing w:line="240" w:lineRule="auto"/>
    </w:pPr>
  </w:style>
  <w:style w:type="character" w:customStyle="1" w:styleId="a9">
    <w:name w:val="Нижний колонтитул Знак"/>
    <w:basedOn w:val="a0"/>
    <w:link w:val="a8"/>
    <w:uiPriority w:val="99"/>
    <w:rsid w:val="003353A2"/>
    <w:rPr>
      <w:rFonts w:ascii="Times New Roman" w:eastAsia="Calibri" w:hAnsi="Times New Roman" w:cs="Times New Roman"/>
      <w:sz w:val="24"/>
      <w:szCs w:val="24"/>
    </w:rPr>
  </w:style>
  <w:style w:type="character" w:customStyle="1" w:styleId="apple-converted-space">
    <w:name w:val="apple-converted-space"/>
    <w:basedOn w:val="a0"/>
    <w:rsid w:val="00EF6355"/>
  </w:style>
  <w:style w:type="character" w:customStyle="1" w:styleId="citation">
    <w:name w:val="citation"/>
    <w:basedOn w:val="a0"/>
    <w:rsid w:val="00EF6355"/>
  </w:style>
  <w:style w:type="character" w:customStyle="1" w:styleId="aa">
    <w:name w:val="рисунок Знак"/>
    <w:basedOn w:val="a0"/>
    <w:link w:val="ab"/>
    <w:locked/>
    <w:rsid w:val="00646402"/>
    <w:rPr>
      <w:rFonts w:ascii="Times New Roman" w:hAnsi="Times New Roman" w:cs="Times New Roman"/>
      <w:sz w:val="24"/>
      <w:szCs w:val="24"/>
    </w:rPr>
  </w:style>
  <w:style w:type="paragraph" w:customStyle="1" w:styleId="ab">
    <w:name w:val="рисунок"/>
    <w:basedOn w:val="a"/>
    <w:link w:val="aa"/>
    <w:qFormat/>
    <w:rsid w:val="00646402"/>
    <w:pPr>
      <w:widowControl w:val="0"/>
      <w:spacing w:before="120" w:after="240" w:line="240" w:lineRule="auto"/>
      <w:ind w:firstLine="0"/>
      <w:jc w:val="center"/>
    </w:pPr>
    <w:rPr>
      <w:rFonts w:eastAsiaTheme="minorHAnsi"/>
    </w:rPr>
  </w:style>
  <w:style w:type="paragraph" w:styleId="ac">
    <w:name w:val="No Spacing"/>
    <w:uiPriority w:val="1"/>
    <w:qFormat/>
    <w:rsid w:val="00646402"/>
    <w:pPr>
      <w:spacing w:after="0" w:line="240" w:lineRule="auto"/>
      <w:ind w:firstLine="709"/>
      <w:jc w:val="both"/>
    </w:pPr>
    <w:rPr>
      <w:rFonts w:ascii="Times New Roman" w:eastAsia="Calibri" w:hAnsi="Times New Roman" w:cs="Times New Roman"/>
      <w:sz w:val="24"/>
      <w:szCs w:val="24"/>
    </w:rPr>
  </w:style>
  <w:style w:type="paragraph" w:styleId="ad">
    <w:name w:val="Balloon Text"/>
    <w:basedOn w:val="a"/>
    <w:link w:val="ae"/>
    <w:uiPriority w:val="99"/>
    <w:semiHidden/>
    <w:unhideWhenUsed/>
    <w:rsid w:val="006A495A"/>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49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02"/>
    <w:pPr>
      <w:spacing w:after="0" w:line="360" w:lineRule="auto"/>
      <w:ind w:firstLine="709"/>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78E"/>
    <w:pPr>
      <w:ind w:left="720"/>
      <w:contextualSpacing/>
    </w:pPr>
  </w:style>
  <w:style w:type="character" w:styleId="a4">
    <w:name w:val="Placeholder Text"/>
    <w:basedOn w:val="a0"/>
    <w:uiPriority w:val="99"/>
    <w:semiHidden/>
    <w:rsid w:val="00A96A64"/>
    <w:rPr>
      <w:color w:val="808080"/>
    </w:rPr>
  </w:style>
  <w:style w:type="character" w:styleId="a5">
    <w:name w:val="Hyperlink"/>
    <w:basedOn w:val="a0"/>
    <w:uiPriority w:val="99"/>
    <w:unhideWhenUsed/>
    <w:rsid w:val="00BE0B33"/>
    <w:rPr>
      <w:color w:val="0563C1" w:themeColor="hyperlink"/>
      <w:u w:val="single"/>
    </w:rPr>
  </w:style>
  <w:style w:type="paragraph" w:styleId="a6">
    <w:name w:val="header"/>
    <w:basedOn w:val="a"/>
    <w:link w:val="a7"/>
    <w:uiPriority w:val="99"/>
    <w:unhideWhenUsed/>
    <w:rsid w:val="003353A2"/>
    <w:pPr>
      <w:tabs>
        <w:tab w:val="center" w:pos="4680"/>
        <w:tab w:val="right" w:pos="9360"/>
      </w:tabs>
      <w:spacing w:line="240" w:lineRule="auto"/>
    </w:pPr>
  </w:style>
  <w:style w:type="character" w:customStyle="1" w:styleId="a7">
    <w:name w:val="Верхний колонтитул Знак"/>
    <w:basedOn w:val="a0"/>
    <w:link w:val="a6"/>
    <w:uiPriority w:val="99"/>
    <w:rsid w:val="003353A2"/>
    <w:rPr>
      <w:rFonts w:ascii="Times New Roman" w:eastAsia="Calibri" w:hAnsi="Times New Roman" w:cs="Times New Roman"/>
      <w:sz w:val="24"/>
      <w:szCs w:val="24"/>
    </w:rPr>
  </w:style>
  <w:style w:type="paragraph" w:styleId="a8">
    <w:name w:val="footer"/>
    <w:basedOn w:val="a"/>
    <w:link w:val="a9"/>
    <w:uiPriority w:val="99"/>
    <w:unhideWhenUsed/>
    <w:rsid w:val="003353A2"/>
    <w:pPr>
      <w:tabs>
        <w:tab w:val="center" w:pos="4680"/>
        <w:tab w:val="right" w:pos="9360"/>
      </w:tabs>
      <w:spacing w:line="240" w:lineRule="auto"/>
    </w:pPr>
  </w:style>
  <w:style w:type="character" w:customStyle="1" w:styleId="a9">
    <w:name w:val="Нижний колонтитул Знак"/>
    <w:basedOn w:val="a0"/>
    <w:link w:val="a8"/>
    <w:uiPriority w:val="99"/>
    <w:rsid w:val="003353A2"/>
    <w:rPr>
      <w:rFonts w:ascii="Times New Roman" w:eastAsia="Calibri" w:hAnsi="Times New Roman" w:cs="Times New Roman"/>
      <w:sz w:val="24"/>
      <w:szCs w:val="24"/>
    </w:rPr>
  </w:style>
  <w:style w:type="character" w:customStyle="1" w:styleId="apple-converted-space">
    <w:name w:val="apple-converted-space"/>
    <w:basedOn w:val="a0"/>
    <w:rsid w:val="00EF6355"/>
  </w:style>
  <w:style w:type="character" w:customStyle="1" w:styleId="citation">
    <w:name w:val="citation"/>
    <w:basedOn w:val="a0"/>
    <w:rsid w:val="00EF6355"/>
  </w:style>
  <w:style w:type="character" w:customStyle="1" w:styleId="aa">
    <w:name w:val="рисунок Знак"/>
    <w:basedOn w:val="a0"/>
    <w:link w:val="ab"/>
    <w:locked/>
    <w:rsid w:val="00646402"/>
    <w:rPr>
      <w:rFonts w:ascii="Times New Roman" w:hAnsi="Times New Roman" w:cs="Times New Roman"/>
      <w:sz w:val="24"/>
      <w:szCs w:val="24"/>
    </w:rPr>
  </w:style>
  <w:style w:type="paragraph" w:customStyle="1" w:styleId="ab">
    <w:name w:val="рисунок"/>
    <w:basedOn w:val="a"/>
    <w:link w:val="aa"/>
    <w:qFormat/>
    <w:rsid w:val="00646402"/>
    <w:pPr>
      <w:widowControl w:val="0"/>
      <w:spacing w:before="120" w:after="240" w:line="240" w:lineRule="auto"/>
      <w:ind w:firstLine="0"/>
      <w:jc w:val="center"/>
    </w:pPr>
    <w:rPr>
      <w:rFonts w:eastAsiaTheme="minorHAnsi"/>
    </w:rPr>
  </w:style>
  <w:style w:type="paragraph" w:styleId="ac">
    <w:name w:val="No Spacing"/>
    <w:uiPriority w:val="1"/>
    <w:qFormat/>
    <w:rsid w:val="00646402"/>
    <w:pPr>
      <w:spacing w:after="0" w:line="240" w:lineRule="auto"/>
      <w:ind w:firstLine="709"/>
      <w:jc w:val="both"/>
    </w:pPr>
    <w:rPr>
      <w:rFonts w:ascii="Times New Roman" w:eastAsia="Calibri" w:hAnsi="Times New Roman" w:cs="Times New Roman"/>
      <w:sz w:val="24"/>
      <w:szCs w:val="24"/>
    </w:rPr>
  </w:style>
  <w:style w:type="paragraph" w:styleId="ad">
    <w:name w:val="Balloon Text"/>
    <w:basedOn w:val="a"/>
    <w:link w:val="ae"/>
    <w:uiPriority w:val="99"/>
    <w:semiHidden/>
    <w:unhideWhenUsed/>
    <w:rsid w:val="006A495A"/>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49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1664">
      <w:bodyDiv w:val="1"/>
      <w:marLeft w:val="0"/>
      <w:marRight w:val="0"/>
      <w:marTop w:val="0"/>
      <w:marBottom w:val="0"/>
      <w:divBdr>
        <w:top w:val="none" w:sz="0" w:space="0" w:color="auto"/>
        <w:left w:val="none" w:sz="0" w:space="0" w:color="auto"/>
        <w:bottom w:val="none" w:sz="0" w:space="0" w:color="auto"/>
        <w:right w:val="none" w:sz="0" w:space="0" w:color="auto"/>
      </w:divBdr>
    </w:div>
    <w:div w:id="1189684607">
      <w:bodyDiv w:val="1"/>
      <w:marLeft w:val="0"/>
      <w:marRight w:val="0"/>
      <w:marTop w:val="0"/>
      <w:marBottom w:val="0"/>
      <w:divBdr>
        <w:top w:val="none" w:sz="0" w:space="0" w:color="auto"/>
        <w:left w:val="none" w:sz="0" w:space="0" w:color="auto"/>
        <w:bottom w:val="none" w:sz="0" w:space="0" w:color="auto"/>
        <w:right w:val="none" w:sz="0" w:space="0" w:color="auto"/>
      </w:divBdr>
    </w:div>
    <w:div w:id="1767459282">
      <w:bodyDiv w:val="1"/>
      <w:marLeft w:val="0"/>
      <w:marRight w:val="0"/>
      <w:marTop w:val="0"/>
      <w:marBottom w:val="0"/>
      <w:divBdr>
        <w:top w:val="none" w:sz="0" w:space="0" w:color="auto"/>
        <w:left w:val="none" w:sz="0" w:space="0" w:color="auto"/>
        <w:bottom w:val="none" w:sz="0" w:space="0" w:color="auto"/>
        <w:right w:val="none" w:sz="0" w:space="0" w:color="auto"/>
      </w:divBdr>
    </w:div>
    <w:div w:id="18287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____Microsoft_Visio1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E05E-3F1E-4548-A53D-EC056A1F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4436</Words>
  <Characters>25291</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Evgenii Pan</dc:creator>
  <cp:keywords/>
  <dc:description/>
  <cp:lastModifiedBy>pc</cp:lastModifiedBy>
  <cp:revision>5</cp:revision>
  <dcterms:created xsi:type="dcterms:W3CDTF">2017-07-04T16:43:00Z</dcterms:created>
  <dcterms:modified xsi:type="dcterms:W3CDTF">2019-06-20T11:12:00Z</dcterms:modified>
</cp:coreProperties>
</file>