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Оценка воздействия выбросов загрязняющих веществ на атмосферный воздух на примере автозаправочной станции г. Партизанск (Приморский край)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Кириллова Марина Викторовна, Харенкова Алена Алексеевна,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Бакалавры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Владивостокский государственный университет экономики и сервиса,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г. Владивосток, Россия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marina_08.10.94@mail.ru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auto"/>
            <w:spacing w:val="0"/>
            <w:position w:val="0"/>
            <w:sz w:val="22"/>
            <w:shd w:fill="auto" w:val="clear"/>
          </w:rPr>
          <w:t xml:space="preserve">alenaharenkova@gmail.com</w:t>
        </w:r>
      </w:hyperlink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Якименко Людмила Владимировна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руководитель, д-р биол. наук, профессор кафедры туризма и экологии,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Владивостокский государственный университет экономики и сервиса,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г. Владивосток, Россия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Lyudmila.Yakimenko@vvsu.ru Тел. +7(423)240-41-22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Гоголя, 41, г. Владивосток, Приморский край, Россия, 690014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данной статье рассматривается воздействие выбросов загрязняющих веществ на атмосферный воздух от предприятия – автозаправочная станция, основным видом деятельности которого является хранение и реализация продуктов переработки нефти.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Ключевые слова и словосочетания: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охрана окружающей среды, загрязнение атмосферного воздуха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Перевод резюме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Assessment of the impact of pollutant emissions on atmospheric air using the example of a gas station in Partizansk (Primorsky Krai)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Prof Lyudmila Yakimenko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77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E-mail: Lyudmila.Yakimenko@vvsu.ru Ph.: </w:t>
      </w:r>
      <w:r>
        <w:rPr>
          <w:rFonts w:ascii="Times New Roman" w:hAnsi="Times New Roman" w:cs="Times New Roman" w:eastAsia="Times New Roman"/>
          <w:i/>
          <w:color w:val="0077CC"/>
          <w:spacing w:val="0"/>
          <w:position w:val="0"/>
          <w:sz w:val="24"/>
          <w:shd w:fill="auto" w:val="clear"/>
        </w:rPr>
        <w:t xml:space="preserve">+7(423)240-41-22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Vladivostok State University Economics and Service. Russia. Vladivostok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This paper analyzed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Key words: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ecology, environment protection, air pollutions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статье рассматривается воздействие выбросов загрязняющих веществ на атмосферный воздух от предприятия, основным видом деятельности которого является хранение и реализация продуктов переработки нефти. Предприятие АЗС г. Партизанск расположено на одной промышленной площадке и насчитывает семь источников загрязнения атмосферного воздуха. Источники выбрасывают в атмосферу 17 загрязняющих веществ в количестве 1,1821т в год. Все источники загрязнения условно отнесены к пяти подразделениям, таким как: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Резервуары с нефтепродуктами;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Топливозаправочные колонки;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Двигатели бензовозов во время доставки топлива и автотранспорта при передвижении по заправочной площадке;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Очистные сооружения (испарения нефтепродуктов с поверхности нефтеуловителей);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Аварийный дизель-генератор.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резервуарного парка: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-резервуары топлива в количестве 4 шт.,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-емкость резервуаров 16 м3.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Годовой расход топлива: всего 1520 тонн (1932 м3),в том числе: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бензин А-76                  360 тонн (480 м3)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бензин АИ-92               360 тонн (480 м3)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бензин АИ-95               200 тонн (266 м3)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дизельное топливо       600 тонн (706 м3)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хранении и сливе нефтепродуктов с автоцистерн выделяются следующие загрязняющие вещества: углеводороды предельные (С1-С5), углеводороды предельные (С6-С10), углеводороды непредельные (С2-С5) (амилены), бензол, толуол, этилбензол, ксилол, керосин, сероводород.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передвижении автотранспорта по территории АЗС в атмосферный воздух выделяются следующие загрязняющие вещества: окислы азота, серы диоксид, углерода окись, сажа, бензин, керосин.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Дождевые и талые сточные воды, сбрасываемые с территории АЗС, подвергаются механической очистке на очистных сооружениях, в состав которых входят: отстойник, фильтр и колодец-нефтесборник. Источником загрязнения атмосферы является также отстойник очистных сооружений. Выделяющиеся загрязняющие вещества: углеводороды предельные (С1-С5), углеводороды предельные (С6-С10), бензол, толуол, ксилол, сероводород.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аварийного электроснабжения АЗС, в случае отключения объекта от городских электрических сетей, на территории установлен дизель-генератор номинальной мощностью 8 кВт. Топливом для работы дизель-генератора служит дизельное топливо по ГОСТ 305-82.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работе дизель-генератора в атмосферу выделяются следующие загрязняющие вещества: серы диоксид, углерода оксид, азота оксид, азота диоксид, керосин, формальдегид, бензапирен.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все вышесказанное, можно сделать вывод, что наибольшее количество выбросов приходится на резервуары с нефтепродуктами (рис. 1).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7162" w:dyaOrig="4148">
          <v:rect xmlns:o="urn:schemas-microsoft-com:office:office" xmlns:v="urn:schemas-microsoft-com:vml" id="rectole0000000000" style="width:358.100000pt;height:207.4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1 - Источники выделения загрязняющих веществ, т/г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источников загрязнения атмосферы АЗС выбрасываются вещества всех классов опасности, включая ОБУВ (рис. 2).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Максимальные вклад приходится на вещества 3-го класса опасности, т.к. к этому классу относится наибольшее количество загрязняющих веществ, в их числе - серы диоксид, обеспечивающий максимальное количество выбросов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оценки воздействия загрязняющих веществ на окружающую среду были проведены расчеты рассеивания загрязняющих веществ в атмосфере. Расчеты рассеивания проводились на летний период года. Для укрупненного анализа рассеивания загрязняющих веществ в приземном слое атмосферы рассчитывались дополнительные контрольные точки, принятые на границе санитарно-защитной зоны (СЗЗ) и в зоне ближайшей жилой застройки.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Автозаправочная станция г. Партизанск относится к сооружениям транспортной инфраструктуры производительностью более 124 а/м в сутки, следовательно, для нее назначается 3 класс опасности [1]. Для 4 класса опасности граница расчетной СЗЗ равна 100 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7248" w:dyaOrig="4368">
          <v:rect xmlns:o="urn:schemas-microsoft-com:office:office" xmlns:v="urn:schemas-microsoft-com:vml" id="rectole0000000001" style="width:362.400000pt;height:218.4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2 - Распределение выбросов ЗВ по классам опасности, т/год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выполненных расчетов было установлено, что приземные концентрации для оксида азота, бензина, керосина не превысили 5% от соответствующих ПДК для населенных пунктов, поэтому расчет нецелесообразен и анализ не проводился.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Наибольшее воздействие на ОС из 14 оставшихся веществ оказывает диоксид азота, которые выделяется при работе дизель-генератора. Максимальная приземная составляет 0,5 ПДК. Наибольший вклад − 91% - вносит насосная станция. Однако выбрасывается вещества очень мало. Такая ситуация складывается из-за того, что приземная концентрация напрямую зависит от высоты расположения источника над уровнем земли, т.е. чем выше источник, тем меньше приземная концентрация. В нашем случае дизель-генератор расположен под навесом у уровня земли, следовательно, высота принимается 2 метра, поэтому и концентрация вещества достаточно высока, но из-за низкой высоты загрязнение неспособно распространиться далеко.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Автозаправочной станции г. Партизанск под производственный контроль попадают 12 загрязняющих веществ, т.к. для контроля выбираются контрольные точки, на которых приземная концентрация превысила значение 0,1 ПДК (табл. 1).</w:t>
      </w:r>
    </w:p>
    <w:p>
      <w:pPr>
        <w:spacing w:before="100" w:after="100" w:line="360"/>
        <w:ind w:right="0" w:left="0" w:firstLine="709"/>
        <w:jc w:val="left"/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2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Таблица 1- Концентрация загрязняющих веществ</w:t>
      </w:r>
    </w:p>
    <w:tbl>
      <w:tblPr/>
      <w:tblGrid>
        <w:gridCol w:w="852"/>
        <w:gridCol w:w="4395"/>
        <w:gridCol w:w="2693"/>
        <w:gridCol w:w="2410"/>
      </w:tblGrid>
      <w:tr>
        <w:trPr>
          <w:trHeight w:val="0" w:hRule="atLeast"/>
          <w:jc w:val="left"/>
        </w:trPr>
        <w:tc>
          <w:tcPr>
            <w:tcW w:w="85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</w:t>
            </w:r>
          </w:p>
        </w:tc>
        <w:tc>
          <w:tcPr>
            <w:tcW w:w="439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загрязняющего вещества</w:t>
            </w:r>
          </w:p>
        </w:tc>
        <w:tc>
          <w:tcPr>
            <w:tcW w:w="510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Расчетная концентрация, в долях ПДК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39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СЗЗ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Жилая зона, макс.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0301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Азота диоксид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0328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Углерод черный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0,33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0,33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0330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Серы диоксид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0333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Сероводород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0,38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0,38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0337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Углерода оксид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0415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Углеводороды предельные C1-C5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0416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" w:leader="none"/>
              </w:tabs>
              <w:spacing w:before="100" w:after="100" w:line="36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Углеводороды предельные C6-C10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0,02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0501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Амилены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0,04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0602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Бензол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0,17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0,16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0616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Ксилол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0,03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0621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Толуол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0,08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0,08</w:t>
            </w:r>
          </w:p>
        </w:tc>
      </w:tr>
      <w:tr>
        <w:trPr>
          <w:trHeight w:val="0" w:hRule="atLeast"/>
          <w:jc w:val="left"/>
        </w:trPr>
        <w:tc>
          <w:tcPr>
            <w:tcW w:w="8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0627</w:t>
            </w:r>
          </w:p>
        </w:tc>
        <w:tc>
          <w:tcPr>
            <w:tcW w:w="43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Этилбензол</w:t>
            </w:r>
          </w:p>
        </w:tc>
        <w:tc>
          <w:tcPr>
            <w:tcW w:w="269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0,07</w:t>
            </w:r>
          </w:p>
        </w:tc>
        <w:tc>
          <w:tcPr>
            <w:tcW w:w="241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6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0,06</w:t>
            </w:r>
          </w:p>
        </w:tc>
      </w:tr>
    </w:tbl>
    <w:p>
      <w:pPr>
        <w:spacing w:before="100" w:after="10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 предприятиям, имеющим выбросы загрязняющих веществ в атмосферу, необходимо вносить плату за негативное воздействие на окружающую среду, согласно ст.16 Федерального закона №7-ФЗ «Об охране окружающей среды» [2]. Плата предприятия Автозаправочная станция г. Партизанск составила 27,17 рублей. Максимальная доля от оплаты приходится на вещество бензпирен – 46,09% (рис. 3).</w:t>
      </w:r>
    </w:p>
    <w:p>
      <w:pPr>
        <w:spacing w:before="12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object w:dxaOrig="9108" w:dyaOrig="5702">
          <v:rect xmlns:o="urn:schemas-microsoft-com:office:office" xmlns:v="urn:schemas-microsoft-com:vml" id="rectole0000000002" style="width:455.400000pt;height:285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120" w:line="24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Рисунок 3 - Платежи за негативное воздействие на ОС, руб./год</w:t>
      </w:r>
    </w:p>
    <w:p>
      <w:pPr>
        <w:spacing w:before="100" w:after="10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Следует отметить, что из всех шести веществ, дающих максимальный вклад в платежи, пять в большей мере выделяются при хранении и сливе нефтепродуктов. Следовательно, это источники, на которые необходимо обращать особое внимание и постоянно держать их под контролем.</w:t>
      </w:r>
    </w:p>
    <w:p>
      <w:pPr>
        <w:spacing w:before="100" w:after="10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Оценивая количество выбросов по источникам загрязнения, можно сказать следующее: из семи источников загрязнения атмосферы, основное количество выбросов загрязняющих веществ приходится на резервуар для топлива (АИ92). Доля выбросов с данного резервуара в год составила чуть более 50% от всех выбросов предприятия.</w:t>
      </w:r>
    </w:p>
    <w:p>
      <w:pPr>
        <w:spacing w:before="100" w:after="10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 результатам выполненных расчетов рассеивания максимальные приземные концентрации не превышают доли ПДК для населенных мест, установленных Центром лабораторного анализа и технических измерений по Приморскому краю, как на границе ориентировочной СЗЗ, так и на территории жилой застройки. На основании вышесказанного можно сделать вывод, что все выбросы всех веществ являются предельно допустимыми.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литературы: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СанПиН 2.2.1/2.1.1.1200-03 «Санитарно-защитные зоны и санитарная классификация предприятий, сооружений и иных объектов» [Электронный ресурс] / СПС «Консультант плюс». – Режим доступа: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http://www.consultant.ru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Федеральный закон об охране окружающей среды [Электронный ресурс] / СПС «Консультант плюс». – Режим доступа: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http://www.consultant.ru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Mode="External" Target="http://www.consultant.ru/" Id="docRId7" Type="http://schemas.openxmlformats.org/officeDocument/2006/relationships/hyperlink"/><Relationship TargetMode="External" Target="mailto:alenaharenkova@gmail.com" Id="docRId0" Type="http://schemas.openxmlformats.org/officeDocument/2006/relationships/hyperlink"/><Relationship Target="styles.xml" Id="docRId10" Type="http://schemas.openxmlformats.org/officeDocument/2006/relationships/styles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Mode="External" Target="http://www.consultant.ru/" Id="docRId8" Type="http://schemas.openxmlformats.org/officeDocument/2006/relationships/hyperlink"/><Relationship Target="embeddings/oleObject0.bin" Id="docRId1" Type="http://schemas.openxmlformats.org/officeDocument/2006/relationships/oleObject"/><Relationship Target="embeddings/oleObject2.bin" Id="docRId5" Type="http://schemas.openxmlformats.org/officeDocument/2006/relationships/oleObject"/><Relationship Target="numbering.xml" Id="docRId9" Type="http://schemas.openxmlformats.org/officeDocument/2006/relationships/numbering"/></Relationships>
</file>