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30" w:rsidRDefault="001F0A35" w:rsidP="00056A3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24DB">
        <w:rPr>
          <w:rFonts w:ascii="Times New Roman" w:hAnsi="Times New Roman" w:cs="Times New Roman"/>
          <w:sz w:val="24"/>
          <w:szCs w:val="24"/>
        </w:rPr>
        <w:t xml:space="preserve">Рубрика: </w:t>
      </w:r>
      <w:r w:rsidR="00B924DB" w:rsidRPr="00B924DB">
        <w:rPr>
          <w:rFonts w:ascii="Times New Roman" w:hAnsi="Times New Roman" w:cs="Times New Roman"/>
          <w:sz w:val="24"/>
          <w:szCs w:val="24"/>
        </w:rPr>
        <w:t xml:space="preserve">13.51.15 </w:t>
      </w:r>
      <w:r w:rsidR="00B924DB">
        <w:rPr>
          <w:rFonts w:ascii="Times New Roman" w:hAnsi="Times New Roman" w:cs="Times New Roman"/>
          <w:sz w:val="24"/>
          <w:szCs w:val="24"/>
        </w:rPr>
        <w:t>Организация и управление в области музейного дела</w:t>
      </w:r>
    </w:p>
    <w:p w:rsidR="00056A30" w:rsidRPr="00B924DB" w:rsidRDefault="00056A30" w:rsidP="00056A3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F0A35" w:rsidRPr="00B924DB" w:rsidRDefault="001F0A35" w:rsidP="00056A3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924DB">
        <w:rPr>
          <w:rFonts w:ascii="Times New Roman" w:hAnsi="Times New Roman" w:cs="Times New Roman"/>
          <w:sz w:val="24"/>
          <w:szCs w:val="24"/>
        </w:rPr>
        <w:t>УДК</w:t>
      </w:r>
      <w:r w:rsidR="00B924DB">
        <w:rPr>
          <w:rFonts w:ascii="Times New Roman" w:hAnsi="Times New Roman" w:cs="Times New Roman"/>
          <w:sz w:val="24"/>
          <w:szCs w:val="24"/>
        </w:rPr>
        <w:t xml:space="preserve"> 069.015</w:t>
      </w:r>
    </w:p>
    <w:p w:rsidR="001F0A35" w:rsidRDefault="001F0A35" w:rsidP="001F0A35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03" w:rsidRPr="00187E4D" w:rsidRDefault="000D5503" w:rsidP="00056A30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4D">
        <w:rPr>
          <w:rFonts w:ascii="Times New Roman" w:hAnsi="Times New Roman" w:cs="Times New Roman"/>
          <w:b/>
          <w:sz w:val="24"/>
          <w:szCs w:val="24"/>
        </w:rPr>
        <w:t>Музейно-выставочный комплекс ВГУЭС - хранилище исторической памяти</w:t>
      </w:r>
    </w:p>
    <w:p w:rsidR="007E29A0" w:rsidRPr="00187E4D" w:rsidRDefault="000D5503" w:rsidP="00056A30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Цой Ольга Климентиевна,</w:t>
      </w:r>
    </w:p>
    <w:p w:rsidR="007E29A0" w:rsidRDefault="00BD298A" w:rsidP="00056A30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бакалавр 1 курса, кафедра</w:t>
      </w:r>
      <w:r w:rsidR="000D5503" w:rsidRPr="00187E4D">
        <w:rPr>
          <w:rFonts w:ascii="Times New Roman" w:hAnsi="Times New Roman" w:cs="Times New Roman"/>
          <w:sz w:val="24"/>
          <w:szCs w:val="24"/>
        </w:rPr>
        <w:t xml:space="preserve"> сервисных технологий</w:t>
      </w:r>
    </w:p>
    <w:p w:rsidR="00056A30" w:rsidRPr="00187E4D" w:rsidRDefault="00056A30" w:rsidP="00056A30">
      <w:pPr>
        <w:pStyle w:val="Default"/>
        <w:ind w:left="-567" w:firstLine="851"/>
        <w:jc w:val="center"/>
      </w:pPr>
      <w:r w:rsidRPr="00187E4D">
        <w:rPr>
          <w:i/>
          <w:iCs/>
        </w:rPr>
        <w:t>Владивостокский государственный университет экономики и сервиса</w:t>
      </w:r>
    </w:p>
    <w:p w:rsidR="00056A30" w:rsidRPr="00187E4D" w:rsidRDefault="00056A30" w:rsidP="00056A30">
      <w:pPr>
        <w:pStyle w:val="Default"/>
        <w:ind w:left="-567" w:firstLine="851"/>
        <w:jc w:val="center"/>
      </w:pPr>
      <w:r w:rsidRPr="00187E4D">
        <w:rPr>
          <w:i/>
          <w:iCs/>
        </w:rPr>
        <w:t>Россия. Владивосток</w:t>
      </w:r>
    </w:p>
    <w:p w:rsidR="00056A30" w:rsidRPr="00056A30" w:rsidRDefault="00056A30" w:rsidP="00056A30">
      <w:pPr>
        <w:pStyle w:val="Default"/>
        <w:ind w:left="-567" w:firstLine="851"/>
        <w:jc w:val="center"/>
        <w:rPr>
          <w:lang w:val="en-US"/>
        </w:rPr>
      </w:pPr>
      <w:r w:rsidRPr="00187E4D">
        <w:rPr>
          <w:lang w:val="en-US"/>
        </w:rPr>
        <w:t>E</w:t>
      </w:r>
      <w:r w:rsidRPr="00056A30">
        <w:rPr>
          <w:lang w:val="en-US"/>
        </w:rPr>
        <w:t>-</w:t>
      </w:r>
      <w:r w:rsidRPr="00187E4D">
        <w:rPr>
          <w:lang w:val="en-US"/>
        </w:rPr>
        <w:t>mail</w:t>
      </w:r>
      <w:r w:rsidRPr="00056A30">
        <w:rPr>
          <w:lang w:val="en-US"/>
        </w:rPr>
        <w:t xml:space="preserve">: </w:t>
      </w:r>
      <w:r w:rsidRPr="001F0A35">
        <w:rPr>
          <w:lang w:val="en-US"/>
        </w:rPr>
        <w:t>alicetsoy</w:t>
      </w:r>
      <w:r w:rsidRPr="00056A30">
        <w:rPr>
          <w:lang w:val="en-US"/>
        </w:rPr>
        <w:t>@</w:t>
      </w:r>
      <w:r w:rsidRPr="001F0A35">
        <w:rPr>
          <w:lang w:val="en-US"/>
        </w:rPr>
        <w:t>yandex</w:t>
      </w:r>
      <w:r w:rsidRPr="00056A30">
        <w:rPr>
          <w:lang w:val="en-US"/>
        </w:rPr>
        <w:t>.</w:t>
      </w:r>
      <w:r w:rsidRPr="001F0A35">
        <w:rPr>
          <w:lang w:val="en-US"/>
        </w:rPr>
        <w:t>ru</w:t>
      </w:r>
      <w:r w:rsidRPr="00056A30">
        <w:rPr>
          <w:lang w:val="en-US"/>
        </w:rPr>
        <w:t xml:space="preserve">; </w:t>
      </w:r>
      <w:r w:rsidRPr="00187E4D">
        <w:t>тел</w:t>
      </w:r>
      <w:r w:rsidRPr="00056A30">
        <w:rPr>
          <w:lang w:val="en-US"/>
        </w:rPr>
        <w:t>.: +79149713280</w:t>
      </w:r>
    </w:p>
    <w:p w:rsidR="00BD298A" w:rsidRPr="00187E4D" w:rsidRDefault="00BD298A" w:rsidP="00056A30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Кочеткова Ирина Степановна,</w:t>
      </w:r>
    </w:p>
    <w:p w:rsidR="00BD298A" w:rsidRPr="00187E4D" w:rsidRDefault="00247986" w:rsidP="00056A30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 w:rsidR="00BD298A" w:rsidRPr="00187E4D">
        <w:rPr>
          <w:rFonts w:ascii="Times New Roman" w:hAnsi="Times New Roman" w:cs="Times New Roman"/>
          <w:sz w:val="24"/>
          <w:szCs w:val="24"/>
        </w:rPr>
        <w:t>, доценткафедр</w:t>
      </w:r>
      <w:r w:rsidR="009A5F40" w:rsidRPr="00187E4D">
        <w:rPr>
          <w:rFonts w:ascii="Times New Roman" w:hAnsi="Times New Roman" w:cs="Times New Roman"/>
          <w:sz w:val="24"/>
          <w:szCs w:val="24"/>
        </w:rPr>
        <w:t>ы</w:t>
      </w:r>
      <w:r w:rsidR="00BD298A" w:rsidRPr="00187E4D">
        <w:rPr>
          <w:rFonts w:ascii="Times New Roman" w:hAnsi="Times New Roman" w:cs="Times New Roman"/>
          <w:sz w:val="24"/>
          <w:szCs w:val="24"/>
        </w:rPr>
        <w:t xml:space="preserve"> сервисных технологий</w:t>
      </w:r>
    </w:p>
    <w:p w:rsidR="007E29A0" w:rsidRPr="00187E4D" w:rsidRDefault="000D5503" w:rsidP="00056A30">
      <w:pPr>
        <w:pStyle w:val="Default"/>
        <w:ind w:left="-567" w:firstLine="851"/>
        <w:jc w:val="center"/>
      </w:pPr>
      <w:r w:rsidRPr="00187E4D">
        <w:rPr>
          <w:i/>
          <w:iCs/>
        </w:rPr>
        <w:t>Владивостокский государственный университет экономики и сервиса</w:t>
      </w:r>
    </w:p>
    <w:p w:rsidR="007E29A0" w:rsidRPr="00187E4D" w:rsidRDefault="000D5503" w:rsidP="00056A30">
      <w:pPr>
        <w:pStyle w:val="Default"/>
        <w:ind w:left="-567" w:firstLine="851"/>
        <w:jc w:val="center"/>
      </w:pPr>
      <w:r w:rsidRPr="00187E4D">
        <w:rPr>
          <w:i/>
          <w:iCs/>
        </w:rPr>
        <w:t>Россия. Владивосток</w:t>
      </w:r>
    </w:p>
    <w:p w:rsidR="007E29A0" w:rsidRPr="00056A30" w:rsidRDefault="000D5503" w:rsidP="00056A30">
      <w:pPr>
        <w:pStyle w:val="Default"/>
        <w:ind w:left="-567" w:firstLine="851"/>
        <w:jc w:val="center"/>
        <w:rPr>
          <w:lang w:val="en-US"/>
        </w:rPr>
      </w:pPr>
      <w:r w:rsidRPr="00187E4D">
        <w:rPr>
          <w:lang w:val="en-US"/>
        </w:rPr>
        <w:t>E</w:t>
      </w:r>
      <w:r w:rsidRPr="00056A30">
        <w:rPr>
          <w:lang w:val="en-US"/>
        </w:rPr>
        <w:t>-</w:t>
      </w:r>
      <w:r w:rsidRPr="00187E4D">
        <w:rPr>
          <w:lang w:val="en-US"/>
        </w:rPr>
        <w:t>mail</w:t>
      </w:r>
      <w:r w:rsidRPr="00056A30">
        <w:rPr>
          <w:lang w:val="en-US"/>
        </w:rPr>
        <w:t xml:space="preserve">: </w:t>
      </w:r>
      <w:r w:rsidR="00BD298A" w:rsidRPr="001F0A35">
        <w:rPr>
          <w:lang w:val="en-US"/>
        </w:rPr>
        <w:t>irina</w:t>
      </w:r>
      <w:r w:rsidR="00BD298A" w:rsidRPr="00056A30">
        <w:rPr>
          <w:lang w:val="en-US"/>
        </w:rPr>
        <w:t>.</w:t>
      </w:r>
      <w:r w:rsidR="00BD298A" w:rsidRPr="001F0A35">
        <w:rPr>
          <w:lang w:val="en-US"/>
        </w:rPr>
        <w:t>kochetkova</w:t>
      </w:r>
      <w:r w:rsidR="00BD298A" w:rsidRPr="00056A30">
        <w:rPr>
          <w:lang w:val="en-US"/>
        </w:rPr>
        <w:t>@</w:t>
      </w:r>
      <w:r w:rsidR="00BD298A" w:rsidRPr="001F0A35">
        <w:rPr>
          <w:lang w:val="en-US"/>
        </w:rPr>
        <w:t>vvsu</w:t>
      </w:r>
      <w:r w:rsidR="00BD298A" w:rsidRPr="00056A30">
        <w:rPr>
          <w:lang w:val="en-US"/>
        </w:rPr>
        <w:t>.</w:t>
      </w:r>
      <w:r w:rsidR="00BD298A" w:rsidRPr="001F0A35">
        <w:rPr>
          <w:lang w:val="en-US"/>
        </w:rPr>
        <w:t>ru</w:t>
      </w:r>
      <w:r w:rsidR="00BD298A" w:rsidRPr="00056A30">
        <w:rPr>
          <w:lang w:val="en-US"/>
        </w:rPr>
        <w:t xml:space="preserve">; </w:t>
      </w:r>
      <w:r w:rsidRPr="00187E4D">
        <w:t>тел</w:t>
      </w:r>
      <w:r w:rsidR="00056A30">
        <w:rPr>
          <w:lang w:val="en-US"/>
        </w:rPr>
        <w:t>.: +791</w:t>
      </w:r>
      <w:r w:rsidR="00056A30" w:rsidRPr="00056A30">
        <w:rPr>
          <w:lang w:val="en-US"/>
        </w:rPr>
        <w:t>49643642</w:t>
      </w:r>
    </w:p>
    <w:p w:rsidR="007E29A0" w:rsidRPr="00187E4D" w:rsidRDefault="000D5503" w:rsidP="00056A30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ул. Гоголя, 41, г. Владивосток, Приморский край, Россия, 69001</w:t>
      </w:r>
    </w:p>
    <w:p w:rsidR="000D5503" w:rsidRPr="00056A30" w:rsidRDefault="000D5503" w:rsidP="00056A3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i/>
          <w:sz w:val="24"/>
          <w:szCs w:val="24"/>
        </w:rPr>
        <w:t>В статье поднимается проблема сохранения исторической памяти университета на примере истории кафедры сервисных технологий.</w:t>
      </w:r>
      <w:r w:rsidR="00056A30" w:rsidRPr="00056A30">
        <w:rPr>
          <w:rFonts w:ascii="Times New Roman" w:hAnsi="Times New Roman" w:cs="Times New Roman"/>
          <w:sz w:val="24"/>
          <w:szCs w:val="24"/>
        </w:rPr>
        <w:t xml:space="preserve"> </w:t>
      </w:r>
      <w:r w:rsidRPr="00187E4D">
        <w:rPr>
          <w:rFonts w:ascii="Times New Roman" w:hAnsi="Times New Roman" w:cs="Times New Roman"/>
          <w:i/>
          <w:sz w:val="24"/>
          <w:szCs w:val="24"/>
        </w:rPr>
        <w:t>История кафедры сервисных технологий занимает важную часть в истории  ВГУЭС. Музейно-выставочный комплекс ВГУЭС является центром сбора и хранения фотодокументов, артефактов, печатных и материальных свидетельств истории вуза.</w:t>
      </w:r>
    </w:p>
    <w:p w:rsidR="00AC54E6" w:rsidRDefault="000D5503" w:rsidP="00056A3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E4D">
        <w:rPr>
          <w:rFonts w:ascii="Times New Roman" w:hAnsi="Times New Roman" w:cs="Times New Roman"/>
          <w:b/>
          <w:i/>
          <w:sz w:val="24"/>
          <w:szCs w:val="24"/>
        </w:rPr>
        <w:t>Ключевые слова и словосочетания:</w:t>
      </w:r>
      <w:r w:rsidRPr="00187E4D">
        <w:rPr>
          <w:rFonts w:ascii="Times New Roman" w:hAnsi="Times New Roman" w:cs="Times New Roman"/>
          <w:i/>
          <w:sz w:val="24"/>
          <w:szCs w:val="24"/>
        </w:rPr>
        <w:t xml:space="preserve"> музей, музейный предмет, исторический источник, музейная коммуникация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5F40" w:rsidRPr="009A5F40" w:rsidRDefault="009A5F40" w:rsidP="0017649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54E6" w:rsidRPr="00187E4D" w:rsidRDefault="00176492" w:rsidP="00056A30">
      <w:pPr>
        <w:spacing w:after="0"/>
        <w:ind w:left="-567" w:firstLine="709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Museum and Exhibition c</w:t>
      </w:r>
      <w:r w:rsidR="00AC54E6" w:rsidRPr="00187E4D">
        <w:rPr>
          <w:rFonts w:ascii="Times New Roman" w:hAnsi="Times New Roman" w:cs="Times New Roman"/>
          <w:b/>
          <w:lang w:val="en-US"/>
        </w:rPr>
        <w:t>omplex of VSUES as a repository of historical memory</w:t>
      </w:r>
    </w:p>
    <w:p w:rsidR="00AC54E6" w:rsidRPr="00187E4D" w:rsidRDefault="00056A30" w:rsidP="00056A30">
      <w:pPr>
        <w:tabs>
          <w:tab w:val="left" w:pos="361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Coi </w:t>
      </w:r>
      <w:r w:rsidR="00492A68">
        <w:rPr>
          <w:rFonts w:ascii="Times New Roman" w:hAnsi="Times New Roman" w:cs="Times New Roman"/>
          <w:lang w:val="en-US"/>
        </w:rPr>
        <w:t>Olga K</w:t>
      </w:r>
      <w:r w:rsidR="00AC54E6" w:rsidRPr="00187E4D">
        <w:rPr>
          <w:rFonts w:ascii="Times New Roman" w:hAnsi="Times New Roman" w:cs="Times New Roman"/>
          <w:lang w:val="en-US"/>
        </w:rPr>
        <w:t>limentievna</w:t>
      </w:r>
    </w:p>
    <w:p w:rsidR="00AC54E6" w:rsidRDefault="00247986" w:rsidP="00056A30">
      <w:pPr>
        <w:tabs>
          <w:tab w:val="left" w:pos="361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lang w:val="en-US"/>
        </w:rPr>
      </w:pPr>
      <w:r w:rsidRPr="00187E4D">
        <w:rPr>
          <w:rFonts w:ascii="Times New Roman" w:hAnsi="Times New Roman" w:cs="Times New Roman"/>
          <w:lang w:val="en-US"/>
        </w:rPr>
        <w:t>bachelor of</w:t>
      </w:r>
      <w:r w:rsidR="00AC54E6" w:rsidRPr="00187E4D">
        <w:rPr>
          <w:rFonts w:ascii="Times New Roman" w:hAnsi="Times New Roman" w:cs="Times New Roman"/>
          <w:lang w:val="en-US"/>
        </w:rPr>
        <w:t xml:space="preserve"> the 1</w:t>
      </w:r>
      <w:r w:rsidRPr="00187E4D">
        <w:rPr>
          <w:rFonts w:ascii="Times New Roman" w:hAnsi="Times New Roman" w:cs="Times New Roman"/>
          <w:vertAlign w:val="superscript"/>
          <w:lang w:val="en-US"/>
        </w:rPr>
        <w:t>st</w:t>
      </w:r>
      <w:r w:rsidR="00AC54E6" w:rsidRPr="00187E4D">
        <w:rPr>
          <w:rFonts w:ascii="Times New Roman" w:hAnsi="Times New Roman" w:cs="Times New Roman"/>
          <w:lang w:val="en-US"/>
        </w:rPr>
        <w:t>year, service technologies department</w:t>
      </w:r>
    </w:p>
    <w:p w:rsidR="00056A30" w:rsidRPr="009A5F40" w:rsidRDefault="00056A30" w:rsidP="00056A30">
      <w:pPr>
        <w:suppressAutoHyphens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A5F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Vladivostok State University of Economics and Service</w:t>
      </w:r>
    </w:p>
    <w:p w:rsidR="00056A30" w:rsidRPr="00056A30" w:rsidRDefault="00056A30" w:rsidP="00056A30">
      <w:pPr>
        <w:tabs>
          <w:tab w:val="left" w:pos="361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187E4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Russia. Vladivostok</w:t>
      </w:r>
    </w:p>
    <w:p w:rsidR="00247986" w:rsidRPr="00187E4D" w:rsidRDefault="00247986" w:rsidP="00056A30">
      <w:pPr>
        <w:tabs>
          <w:tab w:val="left" w:pos="361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lang w:val="en-US"/>
        </w:rPr>
      </w:pPr>
      <w:r w:rsidRPr="00187E4D">
        <w:rPr>
          <w:rFonts w:ascii="Times New Roman" w:hAnsi="Times New Roman" w:cs="Times New Roman"/>
          <w:lang w:val="en-US"/>
        </w:rPr>
        <w:t>Kochetkova Irina Stepanovna</w:t>
      </w:r>
    </w:p>
    <w:p w:rsidR="00247986" w:rsidRPr="00187E4D" w:rsidRDefault="00492A68" w:rsidP="00056A30">
      <w:pPr>
        <w:tabs>
          <w:tab w:val="left" w:pos="361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lang w:val="en-US"/>
        </w:rPr>
      </w:pPr>
      <w:r w:rsidRPr="00187E4D">
        <w:rPr>
          <w:rFonts w:ascii="Times New Roman" w:hAnsi="Times New Roman" w:cs="Times New Roman"/>
          <w:lang w:val="en-US"/>
        </w:rPr>
        <w:t>candidate</w:t>
      </w:r>
      <w:r w:rsidR="00247986" w:rsidRPr="00187E4D">
        <w:rPr>
          <w:rFonts w:ascii="Times New Roman" w:hAnsi="Times New Roman" w:cs="Times New Roman"/>
          <w:lang w:val="en-US"/>
        </w:rPr>
        <w:t xml:space="preserve"> of Historical Sciences, associate professor</w:t>
      </w:r>
      <w:r w:rsidR="009A5F40" w:rsidRPr="00187E4D">
        <w:rPr>
          <w:rFonts w:ascii="Times New Roman" w:hAnsi="Times New Roman" w:cs="Times New Roman"/>
          <w:lang w:val="en-US"/>
        </w:rPr>
        <w:t xml:space="preserve"> of service technologies department</w:t>
      </w:r>
    </w:p>
    <w:p w:rsidR="009A5F40" w:rsidRPr="009A5F40" w:rsidRDefault="009A5F40" w:rsidP="00056A30">
      <w:pPr>
        <w:suppressAutoHyphens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A5F4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Vladivostok State University of Economics and Service</w:t>
      </w:r>
    </w:p>
    <w:p w:rsidR="009A5F40" w:rsidRPr="00187E4D" w:rsidRDefault="009A5F40" w:rsidP="00056A30">
      <w:pPr>
        <w:tabs>
          <w:tab w:val="left" w:pos="361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187E4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Russia. Vladivostok</w:t>
      </w:r>
    </w:p>
    <w:p w:rsidR="000D5503" w:rsidRPr="00AB2C5F" w:rsidRDefault="00AC54E6" w:rsidP="00056A30">
      <w:pPr>
        <w:tabs>
          <w:tab w:val="left" w:pos="361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7E4D">
        <w:rPr>
          <w:rFonts w:ascii="Times New Roman" w:hAnsi="Times New Roman" w:cs="Times New Roman"/>
          <w:i/>
          <w:sz w:val="24"/>
          <w:szCs w:val="24"/>
          <w:lang w:val="en-US"/>
        </w:rPr>
        <w:t>The problem of preserving the historical memory of the university is raised in this article by the example of the history of the department of service technologies.</w:t>
      </w:r>
      <w:r w:rsidR="00056A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7E4D">
        <w:rPr>
          <w:rFonts w:ascii="Times New Roman" w:hAnsi="Times New Roman" w:cs="Times New Roman"/>
          <w:i/>
          <w:sz w:val="24"/>
          <w:szCs w:val="24"/>
          <w:lang w:val="en-US"/>
        </w:rPr>
        <w:t>History of the department of service technologies takes an important part in the history o</w:t>
      </w:r>
      <w:r w:rsidR="00176492">
        <w:rPr>
          <w:rFonts w:ascii="Times New Roman" w:hAnsi="Times New Roman" w:cs="Times New Roman"/>
          <w:i/>
          <w:sz w:val="24"/>
          <w:szCs w:val="24"/>
          <w:lang w:val="en-US"/>
        </w:rPr>
        <w:t>f VSUES. Museum and Exhibition c</w:t>
      </w:r>
      <w:r w:rsidRPr="00187E4D">
        <w:rPr>
          <w:rFonts w:ascii="Times New Roman" w:hAnsi="Times New Roman" w:cs="Times New Roman"/>
          <w:i/>
          <w:sz w:val="24"/>
          <w:szCs w:val="24"/>
          <w:lang w:val="en-US"/>
        </w:rPr>
        <w:t>omplex of VSUES is the center of the collection and storage of documentary photographs, artifacts and printed material evidence of the history of the university.</w:t>
      </w:r>
    </w:p>
    <w:p w:rsidR="00BD298A" w:rsidRPr="00187E4D" w:rsidRDefault="00BD298A" w:rsidP="00056A3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7E4D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</w:t>
      </w:r>
      <w:r w:rsidRPr="00187E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museum, </w:t>
      </w:r>
      <w:r w:rsidR="00247986" w:rsidRPr="00187E4D">
        <w:rPr>
          <w:rFonts w:ascii="Times New Roman" w:hAnsi="Times New Roman" w:cs="Times New Roman"/>
          <w:i/>
          <w:sz w:val="24"/>
          <w:szCs w:val="24"/>
          <w:lang w:val="en-US"/>
        </w:rPr>
        <w:t>museum subject,historical source, museum communication.</w:t>
      </w:r>
    </w:p>
    <w:p w:rsidR="007E29A0" w:rsidRPr="001F0A35" w:rsidRDefault="007E29A0" w:rsidP="00176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Для того, чтобы понять роль музея ВГУЭС в сохранении исторической памяти, необходимо разобраться с самим понятием музея, проблемой музейного предмета и исторического источника.</w:t>
      </w:r>
    </w:p>
    <w:p w:rsidR="007E29A0" w:rsidRPr="00187E4D" w:rsidRDefault="000D5503" w:rsidP="00176492">
      <w:pPr>
        <w:pStyle w:val="a9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 xml:space="preserve">В международной практике обычно используется определение, выработанное Международным советом музеев (ИКОМ) и включенное в его Устав в 1974 г. С учетом поправок, внесенных в последний вариант Устава в 1995 г., эта дефиниция звучит следующим образом: музей </w:t>
      </w:r>
      <w:r w:rsidRPr="00187E4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87E4D">
        <w:rPr>
          <w:rFonts w:ascii="Times New Roman" w:hAnsi="Times New Roman" w:cs="Times New Roman"/>
          <w:sz w:val="24"/>
          <w:szCs w:val="24"/>
        </w:rPr>
        <w:t>это</w:t>
      </w:r>
      <w:r w:rsidR="00296145">
        <w:rPr>
          <w:rFonts w:ascii="Times New Roman" w:hAnsi="Times New Roman" w:cs="Times New Roman"/>
          <w:sz w:val="24"/>
          <w:szCs w:val="24"/>
        </w:rPr>
        <w:t xml:space="preserve"> </w:t>
      </w:r>
      <w:r w:rsidRPr="00187E4D">
        <w:rPr>
          <w:rFonts w:ascii="Times New Roman" w:hAnsi="Times New Roman" w:cs="Times New Roman"/>
          <w:sz w:val="24"/>
          <w:szCs w:val="24"/>
        </w:rPr>
        <w:t xml:space="preserve">постоянное некоммерческое учреждение, находящее на службе общества и его развития и открытое для людей; оно приобретает, сохраняет, изучает, популяризирует и экспонирует в образовательных, просветительных и развлекательных целях материальные свидетельства </w:t>
      </w:r>
      <w:r w:rsidR="00056A30">
        <w:rPr>
          <w:rFonts w:ascii="Times New Roman" w:hAnsi="Times New Roman" w:cs="Times New Roman"/>
          <w:sz w:val="24"/>
          <w:szCs w:val="24"/>
        </w:rPr>
        <w:t>человека и окружающей его среды</w:t>
      </w:r>
      <w:r w:rsidRPr="00187E4D">
        <w:rPr>
          <w:rFonts w:ascii="Times New Roman" w:hAnsi="Times New Roman" w:cs="Times New Roman"/>
          <w:sz w:val="24"/>
          <w:szCs w:val="24"/>
        </w:rPr>
        <w:t xml:space="preserve"> [</w:t>
      </w:r>
      <w:r w:rsidR="00AB2C5F">
        <w:rPr>
          <w:rFonts w:ascii="Times New Roman" w:hAnsi="Times New Roman" w:cs="Times New Roman"/>
          <w:sz w:val="24"/>
          <w:szCs w:val="24"/>
        </w:rPr>
        <w:t>4</w:t>
      </w:r>
      <w:r w:rsidRPr="00187E4D">
        <w:rPr>
          <w:rFonts w:ascii="Times New Roman" w:hAnsi="Times New Roman" w:cs="Times New Roman"/>
          <w:sz w:val="24"/>
          <w:szCs w:val="24"/>
        </w:rPr>
        <w:t>].</w:t>
      </w:r>
    </w:p>
    <w:p w:rsidR="007E29A0" w:rsidRPr="00056A30" w:rsidRDefault="000D5503" w:rsidP="00176492">
      <w:pPr>
        <w:pStyle w:val="a9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Собранные культурные ресурсы представляют не только архивную ценность — они демонстрирую</w:t>
      </w:r>
      <w:r w:rsidR="00056A30">
        <w:rPr>
          <w:rFonts w:ascii="Times New Roman" w:hAnsi="Times New Roman" w:cs="Times New Roman"/>
          <w:sz w:val="24"/>
          <w:szCs w:val="24"/>
        </w:rPr>
        <w:t>т и уникальность данного места</w:t>
      </w:r>
      <w:r w:rsidR="00056A30" w:rsidRPr="00056A30">
        <w:rPr>
          <w:rFonts w:ascii="Times New Roman" w:hAnsi="Times New Roman" w:cs="Times New Roman"/>
          <w:sz w:val="24"/>
          <w:szCs w:val="24"/>
        </w:rPr>
        <w:t xml:space="preserve"> </w:t>
      </w:r>
      <w:r w:rsidR="009A5F40" w:rsidRPr="00187E4D">
        <w:rPr>
          <w:rFonts w:ascii="Times New Roman" w:hAnsi="Times New Roman" w:cs="Times New Roman"/>
          <w:sz w:val="24"/>
          <w:szCs w:val="24"/>
        </w:rPr>
        <w:t>[</w:t>
      </w:r>
      <w:r w:rsidR="00AB2C5F">
        <w:rPr>
          <w:rFonts w:ascii="Times New Roman" w:hAnsi="Times New Roman" w:cs="Times New Roman"/>
          <w:sz w:val="24"/>
          <w:szCs w:val="24"/>
        </w:rPr>
        <w:t>3</w:t>
      </w:r>
      <w:r w:rsidR="009A5F40" w:rsidRPr="00B924DB">
        <w:rPr>
          <w:rFonts w:ascii="Times New Roman" w:hAnsi="Times New Roman" w:cs="Times New Roman"/>
          <w:sz w:val="24"/>
          <w:szCs w:val="24"/>
        </w:rPr>
        <w:t>]</w:t>
      </w:r>
      <w:r w:rsidR="00056A30">
        <w:rPr>
          <w:rFonts w:ascii="Times New Roman" w:hAnsi="Times New Roman" w:cs="Times New Roman"/>
          <w:sz w:val="24"/>
          <w:szCs w:val="24"/>
        </w:rPr>
        <w:t>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lastRenderedPageBreak/>
        <w:t>Одной из центральных проблем в музееведении является проблема музейного предмета.  Без музейных предметов не может быть музея как института социальной памяти.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Согласно определению, данному М.А. Разгоном, музейный предмет -  это извлеченный из реальной действительности предмет музейного значения, включенный в музейное собрание и способный длительно сохраняться. Однако, в последнее время в музееведении наметилась тенденция пересмотра определения музейного предмета.  Одно из последних и наиболее кратких определений музейного предмета,  предложенное Н.А. Томиловым, звучит следующим образом: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Музейный предмет -  это включенный в музейное собрание памятник истории, культуры или природы, являющийся первоисточником знаний и эмоционального воздействия. Музейный предмет является важнейшим звеном коммуникации.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Музей является не только местом хранения исторических предметов, а прежде всего служит коммуникации между людьми</w:t>
      </w:r>
      <w:r w:rsidR="00056A30">
        <w:rPr>
          <w:rFonts w:ascii="Times New Roman" w:hAnsi="Times New Roman" w:cs="Times New Roman"/>
          <w:sz w:val="24"/>
          <w:szCs w:val="24"/>
        </w:rPr>
        <w:t xml:space="preserve"> </w:t>
      </w:r>
      <w:r w:rsidR="00B924DB">
        <w:rPr>
          <w:rFonts w:ascii="Times New Roman" w:hAnsi="Times New Roman" w:cs="Times New Roman"/>
          <w:sz w:val="24"/>
          <w:szCs w:val="24"/>
        </w:rPr>
        <w:t>(</w:t>
      </w:r>
      <w:r w:rsidRPr="00187E4D">
        <w:rPr>
          <w:rFonts w:ascii="Times New Roman" w:hAnsi="Times New Roman" w:cs="Times New Roman"/>
          <w:sz w:val="24"/>
          <w:szCs w:val="24"/>
        </w:rPr>
        <w:t>музейные работники, посетители) на темы, содержание которых представлено выставляемыми культурными объектами.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Коммуникационный подход есть форма перенесения в музееведение общенаучных представлений о коммуникации. Единицей коммуникационного анализа в музееведении является акт музейной коммуникации. Д. Камерон предложил модель акта музейной коммуникации, которая выглядит следующим образом:</w:t>
      </w:r>
    </w:p>
    <w:p w:rsidR="007E29A0" w:rsidRPr="00187E4D" w:rsidRDefault="007E29A0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9A0" w:rsidRPr="00187E4D" w:rsidRDefault="003F4E68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shapetype_32" o:sp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 w:cs="Times New Roman"/>
          <w:sz w:val="24"/>
          <w:szCs w:val="24"/>
        </w:rPr>
        <w:pict>
          <v:shape id="shape_0" o:spid="_x0000_s1027" type="#shapetype_32" style="position:absolute;left:0;text-align:left;margin-left:102.5pt;margin-top:10.2pt;width:53.5pt;height:0;z-index:251657728" filled="f" stroked="t" strokecolor="black">
            <v:fill o:detectmouseclick="t"/>
            <v:stroke endarrow="block" endarrowwidth="medium" endarrowlength="medium" joinstyle="round" endcap="fla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6" type="#shapetype_32" style="position:absolute;left:0;text-align:left;margin-left:274.1pt;margin-top:10.2pt;width:65.25pt;height:0;z-index:251658752" filled="f" stroked="t" strokecolor="black">
            <v:fill o:detectmouseclick="t"/>
            <v:stroke endarrow="block" endarrowwidth="medium" endarrowlength="medium" joinstyle="round" endcap="flat"/>
          </v:shape>
        </w:pict>
      </w:r>
      <w:r w:rsidR="000D5503" w:rsidRPr="00187E4D">
        <w:rPr>
          <w:rFonts w:ascii="Times New Roman" w:hAnsi="Times New Roman" w:cs="Times New Roman"/>
          <w:sz w:val="24"/>
          <w:szCs w:val="24"/>
        </w:rPr>
        <w:t xml:space="preserve">   Адресант                                          Посредник                                  Адресат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 xml:space="preserve">(музейный работник)                  (музейные предметы)                     (посетитель) </w:t>
      </w:r>
      <w:r w:rsidR="009A5F40" w:rsidRPr="00187E4D">
        <w:rPr>
          <w:rFonts w:ascii="Times New Roman" w:hAnsi="Times New Roman" w:cs="Times New Roman"/>
          <w:bCs/>
          <w:sz w:val="24"/>
          <w:szCs w:val="24"/>
        </w:rPr>
        <w:t>[2]</w:t>
      </w:r>
      <w:r w:rsidR="00056A30">
        <w:rPr>
          <w:rFonts w:ascii="Times New Roman" w:hAnsi="Times New Roman" w:cs="Times New Roman"/>
          <w:bCs/>
          <w:sz w:val="24"/>
          <w:szCs w:val="24"/>
        </w:rPr>
        <w:t>.</w:t>
      </w:r>
    </w:p>
    <w:p w:rsidR="007E29A0" w:rsidRPr="00187E4D" w:rsidRDefault="007E29A0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Коммуникационный подход стремится рассматривать музейные предметы как некие знаки – единицы специфического музейного языка.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Музейные предметы являются источниками знания о процессе, явлении.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Источник – это объект, который содержит информацию о реальной жизни человеческого общества и включен в процесс исторического исследования.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Главное свойство источника, имеющее универсальный характер и распространяющееся на всю совокупность источников, - это свойство отображать и воплощать с</w:t>
      </w:r>
      <w:r>
        <w:rPr>
          <w:rFonts w:ascii="Times New Roman" w:hAnsi="Times New Roman" w:cs="Times New Roman"/>
          <w:sz w:val="24"/>
          <w:szCs w:val="24"/>
        </w:rPr>
        <w:t>оциокультурную действительность</w:t>
      </w:r>
      <w:r w:rsidRPr="00187E4D">
        <w:rPr>
          <w:rFonts w:ascii="Times New Roman" w:hAnsi="Times New Roman" w:cs="Times New Roman"/>
          <w:sz w:val="24"/>
          <w:szCs w:val="24"/>
        </w:rPr>
        <w:t>, нести информацию о ней.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способа кодирования информации, источники подразделяются на следующие классы (типы).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Вещественные источники - это любые материальные предметы, от археологических памятников и предметов быта до архитектурных сооружений и современного оборудования. Еще в момент зарождения профессиональной исторической науки вещественные источники в виде монет, медалей, печатей использовались для установления исторических фактов. </w:t>
      </w:r>
    </w:p>
    <w:p w:rsidR="007E29A0" w:rsidRPr="00187E4D" w:rsidRDefault="000D5503" w:rsidP="00176492">
      <w:pPr>
        <w:pStyle w:val="a8"/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 Изобразительные источники начали интересовать исследователей позднее, нежели вещественные, поскольку изобразительный текст требовал существенно иной методики интерпретации. Изображение как источник является объектом для изучения в археологии, этнологии, искусствоведении, книговедении (книжная миниатюра) и других гуманитарных науках. Экспозиционные решения немыслимы без использования изобразительных фондов музея. В зависимости от преобладания отражения или воплощения действительности этот класс (тип) источников может быть подразделен на роды:</w:t>
      </w:r>
    </w:p>
    <w:p w:rsidR="007E29A0" w:rsidRPr="00187E4D" w:rsidRDefault="000D5503" w:rsidP="00056A30">
      <w:pPr>
        <w:pStyle w:val="a8"/>
        <w:numPr>
          <w:ilvl w:val="0"/>
          <w:numId w:val="8"/>
        </w:numPr>
        <w:tabs>
          <w:tab w:val="left" w:pos="426"/>
        </w:tabs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 xml:space="preserve">изобразительно-художественные источники (произведения изобразительного искусства, художественная </w:t>
      </w:r>
      <w:r w:rsidR="00AB2C5F">
        <w:rPr>
          <w:color w:val="000000"/>
        </w:rPr>
        <w:t>фотография, художественные кино</w:t>
      </w:r>
      <w:r w:rsidRPr="00187E4D">
        <w:rPr>
          <w:color w:val="000000"/>
        </w:rPr>
        <w:t>- и видеоматериалы);</w:t>
      </w:r>
    </w:p>
    <w:p w:rsidR="007E29A0" w:rsidRPr="00187E4D" w:rsidRDefault="000D5503" w:rsidP="00176492">
      <w:pPr>
        <w:pStyle w:val="a8"/>
        <w:numPr>
          <w:ilvl w:val="0"/>
          <w:numId w:val="8"/>
        </w:numPr>
        <w:spacing w:beforeAutospacing="0" w:after="0" w:afterAutospacing="0"/>
        <w:ind w:left="426" w:hanging="284"/>
        <w:jc w:val="both"/>
        <w:rPr>
          <w:color w:val="000000"/>
        </w:rPr>
      </w:pPr>
      <w:r w:rsidRPr="00187E4D">
        <w:rPr>
          <w:color w:val="000000"/>
        </w:rPr>
        <w:t>изобразительно-графические источники (карты, планы, схемы);</w:t>
      </w:r>
    </w:p>
    <w:p w:rsidR="007E29A0" w:rsidRPr="00187E4D" w:rsidRDefault="000D5503" w:rsidP="00056A30">
      <w:pPr>
        <w:pStyle w:val="a8"/>
        <w:numPr>
          <w:ilvl w:val="0"/>
          <w:numId w:val="8"/>
        </w:numPr>
        <w:tabs>
          <w:tab w:val="left" w:pos="-567"/>
          <w:tab w:val="left" w:pos="426"/>
        </w:tabs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изобр</w:t>
      </w:r>
      <w:r w:rsidR="00CA35F1">
        <w:rPr>
          <w:color w:val="000000"/>
        </w:rPr>
        <w:t xml:space="preserve">азительно-натуральные источники </w:t>
      </w:r>
      <w:r w:rsidRPr="00187E4D">
        <w:rPr>
          <w:color w:val="000000"/>
        </w:rPr>
        <w:t xml:space="preserve">(документальная </w:t>
      </w:r>
      <w:r w:rsidR="00CA35F1">
        <w:rPr>
          <w:color w:val="000000"/>
        </w:rPr>
        <w:t>фотография, документальные кино</w:t>
      </w:r>
      <w:r w:rsidRPr="00187E4D">
        <w:rPr>
          <w:color w:val="000000"/>
        </w:rPr>
        <w:t>- и видеоматериалы).</w:t>
      </w:r>
    </w:p>
    <w:p w:rsidR="00187E4D" w:rsidRDefault="000D5503" w:rsidP="00176492">
      <w:pPr>
        <w:pStyle w:val="a8"/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Вербальные источники, в силу того что они фиксируют информацию на языке как средстве общения, являются наиболее доступными для исследователей. Традиционное источниковедение сложилось и развивается преимущественно на базе пи</w:t>
      </w:r>
      <w:r w:rsidR="008D281F">
        <w:rPr>
          <w:color w:val="000000"/>
        </w:rPr>
        <w:t>сьменного (словесного, речевого,</w:t>
      </w:r>
      <w:r w:rsidRPr="00187E4D">
        <w:rPr>
          <w:color w:val="000000"/>
        </w:rPr>
        <w:t xml:space="preserve"> языкового) отражения и воплощения действительности, вплоть до </w:t>
      </w:r>
      <w:r w:rsidRPr="00187E4D">
        <w:rPr>
          <w:color w:val="000000"/>
        </w:rPr>
        <w:lastRenderedPageBreak/>
        <w:t xml:space="preserve">того что вещественные источники понимаются лишь как материал и средства для письма. Парадокс же музейного источниковедения состоит в том, что без фондов письменных источников невозможно научное </w:t>
      </w:r>
      <w:r>
        <w:rPr>
          <w:color w:val="000000"/>
        </w:rPr>
        <w:t xml:space="preserve">изучение </w:t>
      </w:r>
      <w:r w:rsidRPr="00187E4D">
        <w:rPr>
          <w:color w:val="000000"/>
        </w:rPr>
        <w:t xml:space="preserve">и элементарное понимание прошлых эпох. </w:t>
      </w:r>
    </w:p>
    <w:p w:rsidR="007E29A0" w:rsidRPr="00187E4D" w:rsidRDefault="000D5503" w:rsidP="00176492">
      <w:pPr>
        <w:pStyle w:val="a8"/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Вербальные источники делятся на следующие роды:</w:t>
      </w:r>
    </w:p>
    <w:p w:rsidR="007E29A0" w:rsidRPr="00187E4D" w:rsidRDefault="000D5503" w:rsidP="00056A30">
      <w:pPr>
        <w:pStyle w:val="a8"/>
        <w:numPr>
          <w:ilvl w:val="0"/>
          <w:numId w:val="9"/>
        </w:numPr>
        <w:tabs>
          <w:tab w:val="left" w:pos="426"/>
        </w:tabs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данные языка (лексикология, фразеология, стилистика и культура речи, словообразование, морфология и синтаксис);</w:t>
      </w:r>
    </w:p>
    <w:p w:rsidR="007E29A0" w:rsidRPr="00187E4D" w:rsidRDefault="000D5503" w:rsidP="00176492">
      <w:pPr>
        <w:pStyle w:val="a8"/>
        <w:numPr>
          <w:ilvl w:val="0"/>
          <w:numId w:val="9"/>
        </w:numPr>
        <w:spacing w:beforeAutospacing="0" w:after="0" w:afterAutospacing="0"/>
        <w:ind w:left="426" w:hanging="284"/>
        <w:jc w:val="both"/>
        <w:rPr>
          <w:color w:val="000000"/>
        </w:rPr>
      </w:pPr>
      <w:r w:rsidRPr="00187E4D">
        <w:rPr>
          <w:color w:val="000000"/>
        </w:rPr>
        <w:t>устные источники (устная разговорная речь, эпос, фольклор);</w:t>
      </w:r>
    </w:p>
    <w:p w:rsidR="007E29A0" w:rsidRPr="00187E4D" w:rsidRDefault="000D5503" w:rsidP="00056A30">
      <w:pPr>
        <w:pStyle w:val="a8"/>
        <w:numPr>
          <w:ilvl w:val="0"/>
          <w:numId w:val="9"/>
        </w:numPr>
        <w:tabs>
          <w:tab w:val="left" w:pos="426"/>
        </w:tabs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письменные источники (документальные и повествовательные источники, эпиграфические надписи). В отношении письменных источников существует общепризнанное видовое деление при принципиальном различении документальных (законодательные акты, актовые материалы, делопроизводственные материалы) и повествовательных источников (летописи и хроники, публицистическая и художественная литература, научные исследования, источники личного происхождения).</w:t>
      </w:r>
    </w:p>
    <w:p w:rsidR="007E29A0" w:rsidRPr="00187E4D" w:rsidRDefault="000D5503" w:rsidP="00176492">
      <w:pPr>
        <w:pStyle w:val="a8"/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Знаковые источники включают системы летоисчисления, изучаемые хронологией, системы мер и весов, изучаемые метрологией, системы расположения знаков различия, изучаемые историей материальной культуры и быта, гербы, изучаемые геральдикой, и т. п. Существуют и другие системы условных графических обозначений: нотная запись, математические, химические, физические и прочие формулы, графики, электрок</w:t>
      </w:r>
      <w:r w:rsidR="00187E4D">
        <w:rPr>
          <w:color w:val="000000"/>
        </w:rPr>
        <w:t xml:space="preserve">ардиограммы, осциллограммы. </w:t>
      </w:r>
      <w:r w:rsidRPr="00187E4D">
        <w:rPr>
          <w:color w:val="000000"/>
        </w:rPr>
        <w:t xml:space="preserve">Источники, фиксирующие информацию на искусственных машинных языках (языках программирования), также следует рассматривать как знаковые. </w:t>
      </w:r>
    </w:p>
    <w:p w:rsidR="007E29A0" w:rsidRPr="00187E4D" w:rsidRDefault="000D5503" w:rsidP="00176492">
      <w:pPr>
        <w:pStyle w:val="a8"/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Поведенческие источники понимаются как визуально наблюдаемые и воспроизводимые формы поведения индивидуальных и коллективных субъектов. Родовое деление внутри этого класса источников возможно в соответствии с категорией субъекта социально-культурного процесса, а именно:</w:t>
      </w:r>
    </w:p>
    <w:p w:rsidR="007E29A0" w:rsidRPr="00187E4D" w:rsidRDefault="000D5503" w:rsidP="00056A30">
      <w:pPr>
        <w:pStyle w:val="a8"/>
        <w:numPr>
          <w:ilvl w:val="0"/>
          <w:numId w:val="10"/>
        </w:numPr>
        <w:tabs>
          <w:tab w:val="left" w:pos="426"/>
        </w:tabs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индивидуальное поведение (индивидуальные характеристики великих исторических личностей, трудовые, семейно-бытовые, праздничные и прочие индивидуальные действия);</w:t>
      </w:r>
    </w:p>
    <w:p w:rsidR="007E29A0" w:rsidRPr="00187E4D" w:rsidRDefault="000D5503" w:rsidP="00056A30">
      <w:pPr>
        <w:pStyle w:val="a8"/>
        <w:numPr>
          <w:ilvl w:val="0"/>
          <w:numId w:val="10"/>
        </w:numPr>
        <w:tabs>
          <w:tab w:val="left" w:pos="426"/>
        </w:tabs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групповое поведение, характерное для представителей отдельных субкультур, профессиональных и производственных коллективов;</w:t>
      </w:r>
    </w:p>
    <w:p w:rsidR="007E29A0" w:rsidRPr="00187E4D" w:rsidRDefault="000D5503" w:rsidP="00056A30">
      <w:pPr>
        <w:pStyle w:val="a8"/>
        <w:numPr>
          <w:ilvl w:val="0"/>
          <w:numId w:val="10"/>
        </w:numPr>
        <w:tabs>
          <w:tab w:val="left" w:pos="426"/>
        </w:tabs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сословное или классовое поведение, присущее социальным общностям, объединенным юридическими или экономическими признаками;</w:t>
      </w:r>
    </w:p>
    <w:p w:rsidR="007E29A0" w:rsidRPr="00187E4D" w:rsidRDefault="000D5503" w:rsidP="00176492">
      <w:pPr>
        <w:pStyle w:val="a8"/>
        <w:numPr>
          <w:ilvl w:val="0"/>
          <w:numId w:val="10"/>
        </w:numPr>
        <w:spacing w:beforeAutospacing="0" w:after="0" w:afterAutospacing="0"/>
        <w:ind w:left="426" w:hanging="284"/>
        <w:jc w:val="both"/>
        <w:rPr>
          <w:color w:val="000000"/>
        </w:rPr>
      </w:pPr>
      <w:r w:rsidRPr="00187E4D">
        <w:rPr>
          <w:color w:val="000000"/>
        </w:rPr>
        <w:t>этническое поведение (обряды, обычаи, ритуалы);</w:t>
      </w:r>
    </w:p>
    <w:p w:rsidR="007E29A0" w:rsidRPr="00187E4D" w:rsidRDefault="000D5503" w:rsidP="00056A30">
      <w:pPr>
        <w:pStyle w:val="a8"/>
        <w:numPr>
          <w:ilvl w:val="0"/>
          <w:numId w:val="10"/>
        </w:numPr>
        <w:tabs>
          <w:tab w:val="left" w:pos="426"/>
        </w:tabs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>массовое поведение (демонстрации, митинги, стачки, восстания, революции, войны, поведение в местах массового скопления, в толпе).</w:t>
      </w:r>
    </w:p>
    <w:p w:rsidR="00B55609" w:rsidRPr="00D63B10" w:rsidRDefault="00B55609" w:rsidP="00176492">
      <w:pPr>
        <w:pStyle w:val="a8"/>
        <w:spacing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</w:rPr>
        <w:t>Звуковые (фонические) источники (музыка, шумы) могут восприниматься непосредственно или в фиксированном виде, на любом звуковом носителе( грампластинки, магнитофонные ленты, аудиокассеты, компакт-диски и т.п.). Использование аудиальных средств в музейной работе на сегодня широко распространено, но степень изученности данного класса источников не позволяет ввести ро</w:t>
      </w:r>
      <w:r w:rsidR="00056A30">
        <w:rPr>
          <w:color w:val="000000"/>
        </w:rPr>
        <w:t>довую или видовую классификации</w:t>
      </w:r>
      <w:r>
        <w:rPr>
          <w:color w:val="000000"/>
        </w:rPr>
        <w:t xml:space="preserve"> </w:t>
      </w:r>
      <w:r w:rsidRPr="00B55609">
        <w:rPr>
          <w:color w:val="000000"/>
        </w:rPr>
        <w:t>[2]</w:t>
      </w:r>
      <w:r w:rsidR="00056A30">
        <w:rPr>
          <w:color w:val="000000"/>
        </w:rPr>
        <w:t>.</w:t>
      </w:r>
    </w:p>
    <w:p w:rsidR="00AB2C5F" w:rsidRPr="00AB2C5F" w:rsidRDefault="00AB2C5F" w:rsidP="00176492">
      <w:pPr>
        <w:pStyle w:val="a8"/>
        <w:spacing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</w:rPr>
        <w:t>На протяжении четырех месяцев студенты кафедры сервисных технологий работали с материалами, собранными в музее ВГУЭС по истории кафедры.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В музее студентам приходилось работать с такими источниками как:</w:t>
      </w:r>
    </w:p>
    <w:p w:rsidR="007E29A0" w:rsidRPr="00176492" w:rsidRDefault="000D5503" w:rsidP="00176492">
      <w:pPr>
        <w:pStyle w:val="a9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492">
        <w:rPr>
          <w:rFonts w:ascii="Times New Roman" w:hAnsi="Times New Roman" w:cs="Times New Roman"/>
          <w:sz w:val="24"/>
          <w:szCs w:val="24"/>
        </w:rPr>
        <w:t>устные источники</w:t>
      </w:r>
    </w:p>
    <w:p w:rsidR="007E29A0" w:rsidRPr="00176492" w:rsidRDefault="000D5503" w:rsidP="00176492">
      <w:pPr>
        <w:pStyle w:val="a9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492">
        <w:rPr>
          <w:rFonts w:ascii="Times New Roman" w:hAnsi="Times New Roman" w:cs="Times New Roman"/>
          <w:sz w:val="24"/>
          <w:szCs w:val="24"/>
        </w:rPr>
        <w:t>изобразительные источники</w:t>
      </w:r>
    </w:p>
    <w:p w:rsidR="007E29A0" w:rsidRPr="00176492" w:rsidRDefault="000D5503" w:rsidP="00176492">
      <w:pPr>
        <w:pStyle w:val="a9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492">
        <w:rPr>
          <w:rFonts w:ascii="Times New Roman" w:hAnsi="Times New Roman" w:cs="Times New Roman"/>
          <w:sz w:val="24"/>
          <w:szCs w:val="24"/>
        </w:rPr>
        <w:t>вербальные источники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 xml:space="preserve">Найденные статьи и заметки из газет, хранилища музея, Вестника ВГУЭС являются примерами вербальных источников. </w:t>
      </w:r>
      <w:r w:rsidRPr="00176492">
        <w:rPr>
          <w:rFonts w:ascii="Times New Roman" w:hAnsi="Times New Roman" w:cs="Times New Roman"/>
          <w:bCs/>
          <w:sz w:val="24"/>
          <w:szCs w:val="24"/>
        </w:rPr>
        <w:t xml:space="preserve">Всего было найдено и обработано </w:t>
      </w:r>
      <w:r w:rsidR="00176492">
        <w:rPr>
          <w:rFonts w:ascii="Times New Roman" w:hAnsi="Times New Roman" w:cs="Times New Roman"/>
          <w:bCs/>
          <w:sz w:val="24"/>
          <w:szCs w:val="24"/>
        </w:rPr>
        <w:t>около 40 статей.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Еще один вид поисковой работы студентов был связан с изобразительно-натуральными источниками.</w:t>
      </w:r>
    </w:p>
    <w:p w:rsidR="007E29A0" w:rsidRPr="00187E4D" w:rsidRDefault="00296145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историческом </w:t>
      </w:r>
      <w:r w:rsidR="000D5503" w:rsidRPr="00187E4D">
        <w:rPr>
          <w:rFonts w:ascii="Times New Roman" w:hAnsi="Times New Roman" w:cs="Times New Roman"/>
          <w:sz w:val="24"/>
          <w:szCs w:val="24"/>
        </w:rPr>
        <w:t>зале музейно-выставочного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503" w:rsidRPr="00187E4D">
        <w:rPr>
          <w:rFonts w:ascii="Times New Roman" w:hAnsi="Times New Roman" w:cs="Times New Roman"/>
          <w:sz w:val="24"/>
          <w:szCs w:val="24"/>
        </w:rPr>
        <w:t>хранится фотоальбом, свидетельствующий о начале истории индустрии моды во ВГУЭС.</w:t>
      </w:r>
      <w:r w:rsidR="00C8513E">
        <w:rPr>
          <w:rFonts w:ascii="Times New Roman" w:hAnsi="Times New Roman" w:cs="Times New Roman"/>
          <w:sz w:val="24"/>
          <w:szCs w:val="24"/>
        </w:rPr>
        <w:t xml:space="preserve"> Данный фотоальбом, </w:t>
      </w:r>
      <w:r w:rsidR="00C8513E">
        <w:rPr>
          <w:rFonts w:ascii="Times New Roman" w:hAnsi="Times New Roman" w:cs="Times New Roman"/>
          <w:sz w:val="24"/>
          <w:szCs w:val="24"/>
        </w:rPr>
        <w:lastRenderedPageBreak/>
        <w:t>являющийся примером музейного предмета, относится к изобразительным источникам.</w:t>
      </w:r>
      <w:r w:rsidR="000D5503" w:rsidRPr="00187E4D">
        <w:rPr>
          <w:rFonts w:ascii="Times New Roman" w:hAnsi="Times New Roman" w:cs="Times New Roman"/>
          <w:sz w:val="24"/>
          <w:szCs w:val="24"/>
        </w:rPr>
        <w:t xml:space="preserve"> Однако фотографии потеряли свое первоначальное качество, некоторые из них повреждены.  Во время работы с хранилищем музея было переведено в цифровой вариант 65 фотографий. Поврежденные фотографии были обработаны с помощью программы </w:t>
      </w:r>
      <w:r w:rsidR="000D5503" w:rsidRPr="00187E4D">
        <w:rPr>
          <w:rFonts w:ascii="Times New Roman" w:hAnsi="Times New Roman" w:cs="Times New Roman"/>
          <w:sz w:val="24"/>
          <w:szCs w:val="24"/>
          <w:lang w:val="en-US"/>
        </w:rPr>
        <w:t>AdobePhotoshop</w:t>
      </w:r>
      <w:r w:rsidR="000D5503" w:rsidRPr="00187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 xml:space="preserve">Работая с фондами музея ВГУЭС, студенты узнали об истории своей кафедры. 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 xml:space="preserve">Кафедра сервисных технологий была организована в 1970 году и за свою историю сменила несколько названий («Технология швейных изделий», «Индустрии моды», «Сервиса и моды»). В 1982 была открыта специальность «Конструирование швейных изделий». В связи с этим кафедра была переименована и стала называться «Технология и конструирование швейных изделий». Впервые на Дальнем Востоке, в 1992 г.,  на кафедре создана испытательная лаборатория «Дальтекс», началась подготовка студентов по специальности «Художественное проектирование костюма», а также был открыт студенческий театр моды. В 1996 кафедра меняет название на «Индустрия моды». Годом позднее, впервые в практике вузов России создан Имидж-центр как новая образовательная технология, которая объединяет научные исследования, учебную и практическую деятельность. В 1999 г. Кафедра была принята в члены Всемирной организации «Текстильный институт» </w:t>
      </w:r>
      <w:r w:rsidR="00056A30">
        <w:rPr>
          <w:rFonts w:ascii="Times New Roman" w:hAnsi="Times New Roman" w:cs="Times New Roman"/>
          <w:sz w:val="24"/>
          <w:szCs w:val="24"/>
        </w:rPr>
        <w:t>с центром в Манчестере (Англия)</w:t>
      </w:r>
      <w:r w:rsidRPr="00187E4D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9A5F40" w:rsidRPr="00B924DB" w:rsidRDefault="000D5503" w:rsidP="00176492">
      <w:pPr>
        <w:pStyle w:val="a8"/>
        <w:spacing w:beforeAutospacing="0" w:after="0" w:afterAutospacing="0"/>
        <w:ind w:left="-567" w:firstLine="709"/>
        <w:jc w:val="both"/>
        <w:rPr>
          <w:color w:val="000000"/>
        </w:rPr>
      </w:pPr>
      <w:r w:rsidRPr="00187E4D">
        <w:rPr>
          <w:color w:val="000000"/>
        </w:rPr>
        <w:t xml:space="preserve">В 2005 году произошло слияние двух кафедр:«Индустрии моды» и «Офисного и культурного сервиса», в результате чего особый импульс развития получило такое перспективное направление подготовки студентов как «Сервис».  </w:t>
      </w:r>
    </w:p>
    <w:p w:rsidR="007E29A0" w:rsidRPr="00187E4D" w:rsidRDefault="000D5503" w:rsidP="00176492">
      <w:pPr>
        <w:pStyle w:val="a8"/>
        <w:spacing w:beforeAutospacing="0" w:after="0" w:afterAutospacing="0"/>
        <w:ind w:left="-567" w:firstLine="709"/>
        <w:jc w:val="both"/>
      </w:pPr>
      <w:r w:rsidRPr="00187E4D">
        <w:rPr>
          <w:color w:val="000000"/>
        </w:rPr>
        <w:t xml:space="preserve"> История кафедры постоянно пополняется. В рамках Недели моды стран АТР 2015 в Музейно-выставочном комплексе ВГУЭС проводилась выставка</w:t>
      </w:r>
      <w:r w:rsidR="00D63B10">
        <w:rPr>
          <w:color w:val="000000"/>
        </w:rPr>
        <w:t xml:space="preserve"> работ</w:t>
      </w:r>
      <w:bookmarkStart w:id="0" w:name="_GoBack"/>
      <w:bookmarkEnd w:id="0"/>
      <w:r w:rsidRPr="00187E4D">
        <w:rPr>
          <w:color w:val="000000"/>
        </w:rPr>
        <w:t xml:space="preserve"> студентов кафедры сервисных технологий «</w:t>
      </w:r>
      <w:r w:rsidRPr="00187E4D">
        <w:rPr>
          <w:color w:val="000000"/>
          <w:lang w:val="en-US"/>
        </w:rPr>
        <w:t>Fashion</w:t>
      </w:r>
      <w:r w:rsidRPr="00187E4D">
        <w:rPr>
          <w:color w:val="000000"/>
        </w:rPr>
        <w:t xml:space="preserve"> графика». Также, в экспозиционном зале музея проводились занятия, посвященные знаменитым модельерам.</w:t>
      </w:r>
    </w:p>
    <w:p w:rsidR="007E29A0" w:rsidRPr="00187E4D" w:rsidRDefault="000D5503" w:rsidP="00176492">
      <w:pPr>
        <w:pStyle w:val="a8"/>
        <w:spacing w:beforeAutospacing="0" w:after="0" w:afterAutospacing="0"/>
        <w:ind w:left="-567" w:firstLine="709"/>
        <w:jc w:val="both"/>
      </w:pPr>
      <w:r w:rsidRPr="00187E4D">
        <w:rPr>
          <w:color w:val="000000"/>
        </w:rPr>
        <w:t>Студенты кафедры не просто работали с уже предоставленным материалом, но и  сами с</w:t>
      </w:r>
      <w:r w:rsidR="00B55609">
        <w:rPr>
          <w:color w:val="000000"/>
        </w:rPr>
        <w:t>тали создателями изобразительно-</w:t>
      </w:r>
      <w:r w:rsidRPr="00187E4D">
        <w:rPr>
          <w:color w:val="000000"/>
        </w:rPr>
        <w:t>описательного источника – видео-интервью со студентами и преподавателями кафедры. Объём отснятого видео</w:t>
      </w:r>
      <w:r w:rsidR="009A5F40" w:rsidRPr="00187E4D">
        <w:rPr>
          <w:color w:val="000000"/>
        </w:rPr>
        <w:t>составил около трех часов.</w:t>
      </w:r>
    </w:p>
    <w:p w:rsidR="007E29A0" w:rsidRPr="00187E4D" w:rsidRDefault="000D5503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История динамична, поэтому необходимо постоянно пополнять ее, работать с источниками. Сегодня мы можем восстановить первые годы работы кафедры по воспоминаниям  преподавателей, фотографиям, различным статьям.</w:t>
      </w:r>
    </w:p>
    <w:p w:rsidR="008D281F" w:rsidRDefault="000D5503" w:rsidP="008D28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 xml:space="preserve"> В данный момент проект актуален для каждого, кто связан с кафедрой и университетом. </w:t>
      </w:r>
    </w:p>
    <w:p w:rsidR="008D281F" w:rsidRPr="00187E4D" w:rsidRDefault="008D281F" w:rsidP="008D281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9A0" w:rsidRPr="00187E4D" w:rsidRDefault="009A5F40" w:rsidP="0017649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  <w:t>______________________</w:t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</w:r>
      <w:r w:rsidRPr="00187E4D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7E29A0" w:rsidRPr="00187E4D" w:rsidRDefault="000D5503" w:rsidP="00056A30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Матвеева Л.В. Кафедре индустрии моды – 30 лет / Вестник Владивостокского государственного университета экономики и сервиса. – Научный журнал. – 2002. - № 4. – с. 4-11</w:t>
      </w:r>
    </w:p>
    <w:p w:rsidR="007E29A0" w:rsidRPr="00187E4D" w:rsidRDefault="000D5503" w:rsidP="00056A30">
      <w:pPr>
        <w:numPr>
          <w:ilvl w:val="0"/>
          <w:numId w:val="6"/>
        </w:numPr>
        <w:tabs>
          <w:tab w:val="clear" w:pos="720"/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bCs/>
          <w:sz w:val="24"/>
          <w:szCs w:val="24"/>
        </w:rPr>
        <w:t>Основы музееведения</w:t>
      </w:r>
      <w:r w:rsidRPr="00187E4D">
        <w:rPr>
          <w:rFonts w:ascii="Times New Roman" w:hAnsi="Times New Roman" w:cs="Times New Roman"/>
          <w:sz w:val="24"/>
          <w:szCs w:val="24"/>
        </w:rPr>
        <w:t>: Учебное пособие/ Отв. ред. Э.А. Шулепова. Изд. 2-е, испр. – М.: Книжный дом «ЛИБРОКОМ», 2010. – 432 с.</w:t>
      </w:r>
    </w:p>
    <w:p w:rsidR="007E29A0" w:rsidRDefault="000D5503" w:rsidP="00056A30">
      <w:pPr>
        <w:numPr>
          <w:ilvl w:val="0"/>
          <w:numId w:val="6"/>
        </w:numPr>
        <w:tabs>
          <w:tab w:val="clear" w:pos="720"/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 xml:space="preserve">Рупасова М.Б. Образ музея — образ территории//Музей в культурном пространстве </w:t>
      </w:r>
      <w:r w:rsidRPr="00187E4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87E4D">
        <w:rPr>
          <w:rFonts w:ascii="Times New Roman" w:hAnsi="Times New Roman" w:cs="Times New Roman"/>
          <w:sz w:val="24"/>
          <w:szCs w:val="24"/>
        </w:rPr>
        <w:t xml:space="preserve"> века: формирование культурно — исторического наследия и имиджа регионов: Пермь, 2008. С.41.</w:t>
      </w:r>
    </w:p>
    <w:p w:rsidR="00AB2C5F" w:rsidRPr="00C8513E" w:rsidRDefault="00AB2C5F" w:rsidP="00056A30">
      <w:pPr>
        <w:numPr>
          <w:ilvl w:val="0"/>
          <w:numId w:val="6"/>
        </w:numPr>
        <w:tabs>
          <w:tab w:val="clear" w:pos="720"/>
          <w:tab w:val="num" w:pos="-567"/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4D">
        <w:rPr>
          <w:rFonts w:ascii="Times New Roman" w:hAnsi="Times New Roman" w:cs="Times New Roman"/>
          <w:sz w:val="24"/>
          <w:szCs w:val="24"/>
        </w:rPr>
        <w:t>Юренева Т.Ю. Музееведение: учебник для студ. вузов / Т. Ю. Юренева. – 3-е изд., испр. и доп. – М.: Академический проект, 2006. 560 с.: ил.</w:t>
      </w:r>
    </w:p>
    <w:sectPr w:rsidR="00AB2C5F" w:rsidRPr="00C8513E" w:rsidSect="00296145">
      <w:pgSz w:w="11906" w:h="16838"/>
      <w:pgMar w:top="1134" w:right="1133" w:bottom="993" w:left="1701" w:header="567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DE" w:rsidRDefault="00B353DE" w:rsidP="00AC54E6">
      <w:pPr>
        <w:spacing w:after="0" w:line="240" w:lineRule="auto"/>
      </w:pPr>
      <w:r>
        <w:separator/>
      </w:r>
    </w:p>
  </w:endnote>
  <w:endnote w:type="continuationSeparator" w:id="1">
    <w:p w:rsidR="00B353DE" w:rsidRDefault="00B353DE" w:rsidP="00AC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DE" w:rsidRDefault="00B353DE" w:rsidP="00AC54E6">
      <w:pPr>
        <w:spacing w:after="0" w:line="240" w:lineRule="auto"/>
      </w:pPr>
      <w:r>
        <w:separator/>
      </w:r>
    </w:p>
  </w:footnote>
  <w:footnote w:type="continuationSeparator" w:id="1">
    <w:p w:rsidR="00B353DE" w:rsidRDefault="00B353DE" w:rsidP="00AC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CBE"/>
    <w:multiLevelType w:val="multilevel"/>
    <w:tmpl w:val="9BA6A38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7A621F"/>
    <w:multiLevelType w:val="multilevel"/>
    <w:tmpl w:val="02B8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6431C"/>
    <w:multiLevelType w:val="multilevel"/>
    <w:tmpl w:val="82962C3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37161853"/>
    <w:multiLevelType w:val="multilevel"/>
    <w:tmpl w:val="C34E2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3C2C96"/>
    <w:multiLevelType w:val="hybridMultilevel"/>
    <w:tmpl w:val="3E6413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C8F6660"/>
    <w:multiLevelType w:val="hybridMultilevel"/>
    <w:tmpl w:val="771C11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D093E2F"/>
    <w:multiLevelType w:val="multilevel"/>
    <w:tmpl w:val="97143E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E4177A1"/>
    <w:multiLevelType w:val="hybridMultilevel"/>
    <w:tmpl w:val="223816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3940F3"/>
    <w:multiLevelType w:val="multilevel"/>
    <w:tmpl w:val="D8827A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B1813CC"/>
    <w:multiLevelType w:val="multilevel"/>
    <w:tmpl w:val="4B6E3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CE6C21"/>
    <w:multiLevelType w:val="hybridMultilevel"/>
    <w:tmpl w:val="A5F898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97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9A0"/>
    <w:rsid w:val="00056A30"/>
    <w:rsid w:val="000D5503"/>
    <w:rsid w:val="000F524E"/>
    <w:rsid w:val="00176492"/>
    <w:rsid w:val="00187E4D"/>
    <w:rsid w:val="001F0A35"/>
    <w:rsid w:val="00247986"/>
    <w:rsid w:val="00296145"/>
    <w:rsid w:val="003F4E68"/>
    <w:rsid w:val="00492A68"/>
    <w:rsid w:val="0058095C"/>
    <w:rsid w:val="007E29A0"/>
    <w:rsid w:val="008D281F"/>
    <w:rsid w:val="009A5F40"/>
    <w:rsid w:val="00A526BB"/>
    <w:rsid w:val="00AB2C5F"/>
    <w:rsid w:val="00AC54E6"/>
    <w:rsid w:val="00B353DE"/>
    <w:rsid w:val="00B55609"/>
    <w:rsid w:val="00B924DB"/>
    <w:rsid w:val="00BD298A"/>
    <w:rsid w:val="00C23627"/>
    <w:rsid w:val="00C8513E"/>
    <w:rsid w:val="00CA35F1"/>
    <w:rsid w:val="00D07933"/>
    <w:rsid w:val="00D63B10"/>
    <w:rsid w:val="00E568DE"/>
    <w:rsid w:val="00F6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9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04730"/>
    <w:rPr>
      <w:color w:val="0000FF"/>
      <w:u w:val="single"/>
    </w:rPr>
  </w:style>
  <w:style w:type="character" w:customStyle="1" w:styleId="ListLabel1">
    <w:name w:val="ListLabel 1"/>
    <w:qFormat/>
    <w:rsid w:val="007E29A0"/>
    <w:rPr>
      <w:rFonts w:cs="Courier New"/>
    </w:rPr>
  </w:style>
  <w:style w:type="paragraph" w:customStyle="1" w:styleId="a3">
    <w:name w:val="Заголовок"/>
    <w:basedOn w:val="a"/>
    <w:next w:val="a4"/>
    <w:qFormat/>
    <w:rsid w:val="007E29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E29A0"/>
    <w:pPr>
      <w:spacing w:after="140" w:line="288" w:lineRule="auto"/>
    </w:pPr>
  </w:style>
  <w:style w:type="paragraph" w:styleId="a5">
    <w:name w:val="List"/>
    <w:basedOn w:val="a4"/>
    <w:rsid w:val="007E29A0"/>
    <w:rPr>
      <w:rFonts w:cs="Mangal"/>
    </w:rPr>
  </w:style>
  <w:style w:type="paragraph" w:styleId="a6">
    <w:name w:val="Title"/>
    <w:basedOn w:val="a"/>
    <w:rsid w:val="007E29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E29A0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9479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64C99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7660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C54E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C54E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C54E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C54E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513E"/>
  </w:style>
  <w:style w:type="paragraph" w:styleId="af0">
    <w:name w:val="footer"/>
    <w:basedOn w:val="a"/>
    <w:link w:val="af1"/>
    <w:uiPriority w:val="99"/>
    <w:unhideWhenUsed/>
    <w:rsid w:val="00C8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513E"/>
  </w:style>
  <w:style w:type="paragraph" w:styleId="af2">
    <w:name w:val="Balloon Text"/>
    <w:basedOn w:val="a"/>
    <w:link w:val="af3"/>
    <w:uiPriority w:val="99"/>
    <w:semiHidden/>
    <w:unhideWhenUsed/>
    <w:rsid w:val="00C8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961E-510A-455B-9DCD-00F3126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4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16</cp:revision>
  <cp:lastPrinted>2015-05-26T12:00:00Z</cp:lastPrinted>
  <dcterms:created xsi:type="dcterms:W3CDTF">2015-04-19T12:14:00Z</dcterms:created>
  <dcterms:modified xsi:type="dcterms:W3CDTF">2015-05-29T03:51:00Z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