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>5.8.6. Оздоровительная и адаптивная физическая культура</w:t>
      </w:r>
    </w:p>
    <w:p w14:paraId="02000000">
      <w:pPr>
        <w:widowControl w:val="1"/>
        <w:spacing w:line="360" w:lineRule="auto"/>
        <w:ind w:firstLine="567"/>
        <w:jc w:val="both"/>
        <w:rPr>
          <w:sz w:val="28"/>
        </w:rPr>
      </w:pPr>
      <w:bookmarkStart w:id="1" w:name="_Hlk210134688"/>
      <w:r>
        <w:rPr>
          <w:sz w:val="28"/>
        </w:rPr>
        <w:t xml:space="preserve">УДК </w:t>
      </w:r>
      <w:r>
        <w:rPr>
          <w:rStyle w:val="Style_1_ch"/>
          <w:color w:val="000000"/>
          <w:sz w:val="28"/>
          <w:u w:val="none"/>
        </w:rPr>
        <w:fldChar w:fldCharType="begin"/>
      </w:r>
      <w:r>
        <w:rPr>
          <w:rStyle w:val="Style_1_ch"/>
          <w:color w:val="000000"/>
          <w:sz w:val="28"/>
          <w:u w:val="none"/>
        </w:rPr>
        <w:instrText>HYPERLINK "https://www.teacode.com/online/udc/61/615.825.6.html"</w:instrText>
      </w:r>
      <w:r>
        <w:rPr>
          <w:rStyle w:val="Style_1_ch"/>
          <w:color w:val="000000"/>
          <w:sz w:val="28"/>
          <w:u w:val="none"/>
        </w:rPr>
        <w:fldChar w:fldCharType="separate"/>
      </w:r>
      <w:r>
        <w:rPr>
          <w:rStyle w:val="Style_1_ch"/>
          <w:color w:val="000000"/>
          <w:sz w:val="28"/>
          <w:u w:val="none"/>
        </w:rPr>
        <w:t>615.825.6</w:t>
      </w:r>
      <w:r>
        <w:rPr>
          <w:rStyle w:val="Style_1_ch"/>
          <w:color w:val="000000"/>
          <w:sz w:val="28"/>
          <w:u w:val="none"/>
        </w:rPr>
        <w:fldChar w:fldCharType="end"/>
      </w:r>
    </w:p>
    <w:p w14:paraId="03000000">
      <w:pPr>
        <w:widowControl w:val="1"/>
        <w:spacing w:line="360" w:lineRule="auto"/>
        <w:ind/>
        <w:rPr>
          <w:b w:val="1"/>
          <w:sz w:val="28"/>
        </w:rPr>
      </w:pPr>
      <w:r>
        <w:rPr>
          <w:b w:val="1"/>
          <w:sz w:val="28"/>
        </w:rPr>
        <w:t xml:space="preserve">ИСПОЛЬЗОВАНИЕ КОМПЛЕКСА С БИОЛОГИЧЕСКОЙ ОБРАТНОЙ СВЯЗЬЮ </w:t>
      </w:r>
      <w:r>
        <w:rPr>
          <w:b w:val="1"/>
          <w:sz w:val="28"/>
        </w:rPr>
        <w:t>«A</w:t>
      </w:r>
      <w:r>
        <w:rPr>
          <w:b w:val="1"/>
          <w:sz w:val="28"/>
        </w:rPr>
        <w:t>RMEOSPRING</w:t>
      </w:r>
      <w:r>
        <w:rPr>
          <w:b w:val="1"/>
          <w:sz w:val="28"/>
        </w:rPr>
        <w:t xml:space="preserve">» </w:t>
      </w:r>
      <w:r>
        <w:rPr>
          <w:b w:val="1"/>
          <w:sz w:val="28"/>
        </w:rPr>
        <w:t>ДЛЯ ВОССТАНОВЛЕНИЯ ДВИГАТЕЛЬНОЙ ФУНКЦИИ ВЕРХНИХ КОНЕЧНОСТЕЙ ПАЦИЕНТОВ, ПЕРЕНЕСШИХ ИНСУЛЬТ</w:t>
      </w:r>
    </w:p>
    <w:p w14:paraId="04000000">
      <w:pPr>
        <w:widowControl w:val="1"/>
        <w:spacing w:line="360" w:lineRule="auto"/>
        <w:ind w:firstLine="567"/>
        <w:jc w:val="right"/>
        <w:rPr>
          <w:b w:val="1"/>
          <w:sz w:val="28"/>
        </w:rPr>
      </w:pPr>
      <w:r>
        <w:rPr>
          <w:b w:val="1"/>
          <w:sz w:val="28"/>
        </w:rPr>
        <w:t>¹ Гайнуллина Ю.</w:t>
      </w:r>
      <w:r>
        <w:rPr>
          <w:b w:val="1"/>
          <w:sz w:val="28"/>
        </w:rPr>
        <w:t>И</w:t>
      </w:r>
      <w:r>
        <w:rPr>
          <w:b w:val="1"/>
          <w:sz w:val="28"/>
        </w:rPr>
        <w:t xml:space="preserve">., </w:t>
      </w:r>
      <w:r>
        <w:rPr>
          <w:b w:val="1"/>
          <w:sz w:val="28"/>
        </w:rPr>
        <w:t xml:space="preserve">¹ </w:t>
      </w:r>
      <w:r>
        <w:rPr>
          <w:b w:val="1"/>
          <w:sz w:val="28"/>
        </w:rPr>
        <w:t xml:space="preserve">Барабаш О.А., </w:t>
      </w:r>
      <w:r>
        <w:rPr>
          <w:b w:val="1"/>
          <w:sz w:val="28"/>
        </w:rPr>
        <w:t xml:space="preserve">¹ </w:t>
      </w:r>
      <w:r>
        <w:rPr>
          <w:b w:val="1"/>
          <w:sz w:val="28"/>
        </w:rPr>
        <w:t>Кожемяко А.Г.</w:t>
      </w:r>
    </w:p>
    <w:p w14:paraId="05000000">
      <w:pPr>
        <w:widowControl w:val="1"/>
        <w:spacing w:line="360" w:lineRule="auto"/>
        <w:ind w:firstLine="709"/>
        <w:jc w:val="right"/>
        <w:rPr>
          <w:b w:val="1"/>
          <w:sz w:val="28"/>
        </w:rPr>
      </w:pPr>
      <w:r>
        <w:rPr>
          <w:b w:val="1"/>
          <w:sz w:val="28"/>
        </w:rPr>
        <w:t>¹ Владивостокский государственный университет</w:t>
      </w:r>
    </w:p>
    <w:p w14:paraId="06000000">
      <w:pPr>
        <w:widowControl w:val="1"/>
        <w:spacing w:line="360" w:lineRule="auto"/>
        <w:ind w:firstLine="567"/>
        <w:jc w:val="both"/>
        <w:rPr>
          <w:sz w:val="28"/>
          <w:highlight w:val="white"/>
        </w:rPr>
      </w:pPr>
      <w:r>
        <w:rPr>
          <w:b w:val="1"/>
          <w:sz w:val="28"/>
        </w:rPr>
        <w:t>Аннотация:</w:t>
      </w:r>
      <w:r>
        <w:rPr>
          <w:sz w:val="28"/>
          <w:highlight w:val="white"/>
        </w:rPr>
        <w:t xml:space="preserve"> </w:t>
      </w:r>
      <w:r>
        <w:rPr>
          <w:sz w:val="28"/>
          <w:highlight w:val="white"/>
        </w:rPr>
        <w:t>Р</w:t>
      </w:r>
      <w:r>
        <w:rPr>
          <w:sz w:val="28"/>
          <w:highlight w:val="white"/>
        </w:rPr>
        <w:t>ассмотрена</w:t>
      </w:r>
      <w:r>
        <w:rPr>
          <w:sz w:val="28"/>
        </w:rPr>
        <w:t xml:space="preserve"> эффективност</w:t>
      </w:r>
      <w:r>
        <w:rPr>
          <w:sz w:val="28"/>
        </w:rPr>
        <w:t>ь</w:t>
      </w:r>
      <w:r>
        <w:rPr>
          <w:sz w:val="28"/>
        </w:rPr>
        <w:t xml:space="preserve"> методов физической реабилитации с применением биологической обратной связи для восстановления двигательных функций у пациентов, перенёсших инсульт</w:t>
      </w:r>
      <w:r>
        <w:rPr>
          <w:sz w:val="28"/>
        </w:rPr>
        <w:t xml:space="preserve">. </w:t>
      </w:r>
      <w:r>
        <w:rPr>
          <w:sz w:val="28"/>
        </w:rPr>
        <w:t xml:space="preserve">Оценка двигательных функций верхних конечностей пациентов по опроснику DASH </w:t>
      </w:r>
      <w:r>
        <w:rPr>
          <w:sz w:val="28"/>
        </w:rPr>
        <w:t>показала ряд гендерных различий исследуемых показателей (</w:t>
      </w:r>
      <w:r>
        <w:rPr>
          <w:sz w:val="28"/>
        </w:rPr>
        <w:t>«Уровень сознания 1</w:t>
      </w:r>
      <w:r>
        <w:rPr>
          <w:sz w:val="28"/>
        </w:rPr>
        <w:t>b</w:t>
      </w:r>
      <w:r>
        <w:rPr>
          <w:sz w:val="28"/>
        </w:rPr>
        <w:t>»</w:t>
      </w:r>
      <w:r>
        <w:rPr>
          <w:sz w:val="28"/>
        </w:rPr>
        <w:t xml:space="preserve"> </w:t>
      </w:r>
      <w:r>
        <w:rPr>
          <w:sz w:val="28"/>
        </w:rPr>
        <w:t xml:space="preserve">и </w:t>
      </w:r>
      <w:r>
        <w:rPr>
          <w:sz w:val="28"/>
        </w:rPr>
        <w:t>«Уровень сознания 1с»</w:t>
      </w:r>
      <w:r>
        <w:rPr>
          <w:sz w:val="28"/>
        </w:rPr>
        <w:t>), ат</w:t>
      </w:r>
      <w:r>
        <w:rPr>
          <w:sz w:val="28"/>
        </w:rPr>
        <w:t>аксия одной конечности наблюдалась у 71,4% мужчин и 28,6% женщин</w:t>
      </w:r>
      <w:r>
        <w:rPr>
          <w:sz w:val="28"/>
        </w:rPr>
        <w:t xml:space="preserve">, </w:t>
      </w:r>
      <w:r>
        <w:rPr>
          <w:sz w:val="28"/>
        </w:rPr>
        <w:t>ге</w:t>
      </w:r>
      <w:r>
        <w:rPr>
          <w:sz w:val="28"/>
        </w:rPr>
        <w:t>мигипестезия</w:t>
      </w:r>
      <w:r>
        <w:rPr>
          <w:sz w:val="28"/>
        </w:rPr>
        <w:t xml:space="preserve"> встречалась чаще чем нормальная чувствительности у мужчин в 55,6% случаев у женщин в 44,4%.</w:t>
      </w:r>
      <w:r>
        <w:rPr>
          <w:sz w:val="28"/>
        </w:rPr>
        <w:t xml:space="preserve"> </w:t>
      </w:r>
      <w:r>
        <w:rPr>
          <w:sz w:val="28"/>
        </w:rPr>
        <w:t xml:space="preserve">Использование </w:t>
      </w:r>
      <w:r>
        <w:rPr>
          <w:sz w:val="28"/>
        </w:rPr>
        <w:t>комплекс</w:t>
      </w:r>
      <w:r>
        <w:rPr>
          <w:sz w:val="28"/>
        </w:rPr>
        <w:t>а</w:t>
      </w:r>
      <w:r>
        <w:rPr>
          <w:sz w:val="28"/>
        </w:rPr>
        <w:t xml:space="preserve"> «</w:t>
      </w:r>
      <w:r>
        <w:rPr>
          <w:sz w:val="28"/>
        </w:rPr>
        <w:t>ArmeoSpring</w:t>
      </w:r>
      <w:r>
        <w:rPr>
          <w:sz w:val="28"/>
        </w:rPr>
        <w:t xml:space="preserve">» </w:t>
      </w:r>
      <w:r>
        <w:rPr>
          <w:sz w:val="28"/>
        </w:rPr>
        <w:t xml:space="preserve">в комплексной программе реабилитации после инсульта позволило улучшить </w:t>
      </w:r>
      <w:r>
        <w:rPr>
          <w:sz w:val="28"/>
        </w:rPr>
        <w:t>сгибани</w:t>
      </w:r>
      <w:r>
        <w:rPr>
          <w:sz w:val="28"/>
        </w:rPr>
        <w:t>е</w:t>
      </w:r>
      <w:r>
        <w:rPr>
          <w:sz w:val="28"/>
        </w:rPr>
        <w:t xml:space="preserve"> лучезапястного </w:t>
      </w:r>
      <w:r>
        <w:rPr>
          <w:sz w:val="28"/>
        </w:rPr>
        <w:t xml:space="preserve">и плечевого суставов, </w:t>
      </w:r>
      <w:r>
        <w:rPr>
          <w:sz w:val="28"/>
        </w:rPr>
        <w:t>мышечн</w:t>
      </w:r>
      <w:r>
        <w:rPr>
          <w:sz w:val="28"/>
        </w:rPr>
        <w:t>ый</w:t>
      </w:r>
      <w:r>
        <w:rPr>
          <w:sz w:val="28"/>
        </w:rPr>
        <w:t xml:space="preserve"> тонус </w:t>
      </w:r>
      <w:r>
        <w:rPr>
          <w:sz w:val="28"/>
        </w:rPr>
        <w:t xml:space="preserve">и </w:t>
      </w:r>
      <w:r>
        <w:rPr>
          <w:sz w:val="28"/>
        </w:rPr>
        <w:t>сократительн</w:t>
      </w:r>
      <w:r>
        <w:rPr>
          <w:sz w:val="28"/>
        </w:rPr>
        <w:t>ую</w:t>
      </w:r>
      <w:r>
        <w:rPr>
          <w:sz w:val="28"/>
        </w:rPr>
        <w:t xml:space="preserve"> способност</w:t>
      </w:r>
      <w:r>
        <w:rPr>
          <w:sz w:val="28"/>
        </w:rPr>
        <w:t>ь</w:t>
      </w:r>
      <w:r>
        <w:rPr>
          <w:sz w:val="28"/>
        </w:rPr>
        <w:t xml:space="preserve"> плечелучевой мышцы</w:t>
      </w:r>
      <w:r>
        <w:rPr>
          <w:sz w:val="28"/>
        </w:rPr>
        <w:t xml:space="preserve">. </w:t>
      </w:r>
    </w:p>
    <w:p w14:paraId="07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b w:val="1"/>
          <w:sz w:val="28"/>
        </w:rPr>
        <w:t>Ключевые слова:</w:t>
      </w:r>
      <w:r>
        <w:rPr>
          <w:b w:val="1"/>
          <w:sz w:val="28"/>
        </w:rPr>
        <w:t xml:space="preserve"> </w:t>
      </w:r>
      <w:r>
        <w:rPr>
          <w:sz w:val="28"/>
        </w:rPr>
        <w:t>пациенты, перенесшие инсульт,</w:t>
      </w:r>
      <w:r>
        <w:rPr>
          <w:b w:val="1"/>
          <w:sz w:val="28"/>
        </w:rPr>
        <w:t xml:space="preserve"> </w:t>
      </w:r>
      <w:r>
        <w:rPr>
          <w:sz w:val="28"/>
        </w:rPr>
        <w:t>реабилитационные системы с биологической обратной связью</w:t>
      </w:r>
      <w:r>
        <w:rPr>
          <w:sz w:val="28"/>
        </w:rPr>
        <w:t xml:space="preserve">, </w:t>
      </w:r>
      <w:r>
        <w:rPr>
          <w:sz w:val="28"/>
        </w:rPr>
        <w:t>восстановлени</w:t>
      </w:r>
      <w:r>
        <w:rPr>
          <w:sz w:val="28"/>
        </w:rPr>
        <w:t>е</w:t>
      </w:r>
      <w:r>
        <w:rPr>
          <w:sz w:val="28"/>
        </w:rPr>
        <w:t xml:space="preserve"> утраченных двигательных функций</w:t>
      </w:r>
      <w:r>
        <w:rPr>
          <w:sz w:val="28"/>
        </w:rPr>
        <w:t>.</w:t>
      </w:r>
      <w:bookmarkEnd w:id="1"/>
    </w:p>
    <w:p w14:paraId="08000000">
      <w:pPr>
        <w:widowControl w:val="1"/>
        <w:spacing w:line="360" w:lineRule="auto"/>
        <w:ind/>
        <w:jc w:val="both"/>
        <w:rPr>
          <w:b w:val="1"/>
          <w:sz w:val="28"/>
        </w:rPr>
      </w:pPr>
    </w:p>
    <w:p w14:paraId="09000000">
      <w:pPr>
        <w:widowControl w:val="1"/>
        <w:spacing w:line="360" w:lineRule="auto"/>
        <w:ind/>
        <w:rPr>
          <w:b w:val="1"/>
          <w:sz w:val="28"/>
        </w:rPr>
      </w:pPr>
      <w:r>
        <w:rPr>
          <w:b w:val="1"/>
          <w:sz w:val="28"/>
        </w:rPr>
        <w:t xml:space="preserve">USING AN </w:t>
      </w:r>
      <w:r>
        <w:rPr>
          <w:b w:val="1"/>
          <w:sz w:val="28"/>
        </w:rPr>
        <w:t xml:space="preserve">«ARMEOSPRING» </w:t>
      </w:r>
      <w:r>
        <w:rPr>
          <w:b w:val="1"/>
          <w:sz w:val="28"/>
        </w:rPr>
        <w:t>BIOFEEDBACK SYSTEM TO RESTORE THE MOTOR FUNCTION OF THE UPPER LEGS IN PATIENTS AFTER   A STROKE</w:t>
      </w:r>
    </w:p>
    <w:p w14:paraId="0A000000">
      <w:pPr>
        <w:widowControl w:val="1"/>
        <w:spacing w:line="360" w:lineRule="auto"/>
        <w:ind w:firstLine="709"/>
        <w:jc w:val="right"/>
        <w:rPr>
          <w:b w:val="1"/>
          <w:sz w:val="28"/>
        </w:rPr>
      </w:pPr>
      <w:r>
        <w:rPr>
          <w:b w:val="1"/>
          <w:sz w:val="28"/>
        </w:rPr>
        <w:t xml:space="preserve">¹ </w:t>
      </w:r>
      <w:r>
        <w:rPr>
          <w:b w:val="1"/>
          <w:sz w:val="28"/>
        </w:rPr>
        <w:t>Gainullina</w:t>
      </w:r>
      <w:r>
        <w:rPr>
          <w:b w:val="1"/>
          <w:sz w:val="28"/>
        </w:rPr>
        <w:t xml:space="preserve"> Y.I., ¹ </w:t>
      </w:r>
      <w:r>
        <w:rPr>
          <w:b w:val="1"/>
          <w:sz w:val="28"/>
        </w:rPr>
        <w:t>Barabash</w:t>
      </w:r>
      <w:r>
        <w:rPr>
          <w:b w:val="1"/>
          <w:sz w:val="28"/>
        </w:rPr>
        <w:t xml:space="preserve"> O.A., ¹ </w:t>
      </w:r>
      <w:r>
        <w:rPr>
          <w:b w:val="1"/>
          <w:sz w:val="28"/>
        </w:rPr>
        <w:t>Kozhemyako</w:t>
      </w:r>
      <w:r>
        <w:rPr>
          <w:b w:val="1"/>
          <w:sz w:val="28"/>
        </w:rPr>
        <w:t xml:space="preserve"> A.G.</w:t>
      </w:r>
    </w:p>
    <w:p w14:paraId="0B000000">
      <w:pPr>
        <w:widowControl w:val="1"/>
        <w:spacing w:line="360" w:lineRule="auto"/>
        <w:ind w:firstLine="709"/>
        <w:jc w:val="right"/>
        <w:rPr>
          <w:b w:val="1"/>
          <w:sz w:val="28"/>
        </w:rPr>
      </w:pPr>
      <w:r>
        <w:rPr>
          <w:b w:val="1"/>
          <w:sz w:val="28"/>
        </w:rPr>
        <w:t>¹Vladivostok State University</w:t>
      </w:r>
    </w:p>
    <w:p w14:paraId="0C000000">
      <w:pPr>
        <w:widowControl w:val="1"/>
        <w:ind w:firstLine="709"/>
        <w:jc w:val="right"/>
      </w:pPr>
    </w:p>
    <w:p w14:paraId="0D000000">
      <w:pPr>
        <w:widowControl w:val="1"/>
        <w:spacing w:line="360" w:lineRule="auto"/>
        <w:ind w:firstLine="567"/>
        <w:jc w:val="both"/>
        <w:rPr>
          <w:sz w:val="28"/>
          <w:highlight w:val="white"/>
        </w:rPr>
      </w:pPr>
      <w:r>
        <w:rPr>
          <w:b w:val="1"/>
          <w:sz w:val="28"/>
          <w:highlight w:val="white"/>
        </w:rPr>
        <w:t>Annotation:</w:t>
      </w:r>
      <w:r>
        <w:rPr>
          <w:sz w:val="28"/>
          <w:highlight w:val="white"/>
        </w:rPr>
        <w:t xml:space="preserve"> The effectiveness of physical rehabilitation methods using biofeedback for restoring motor function in patients after stroke is examined. </w:t>
      </w:r>
    </w:p>
    <w:p w14:paraId="0E000000">
      <w:pPr>
        <w:widowControl w:val="1"/>
        <w:spacing w:line="360" w:lineRule="auto"/>
        <w:ind w:firstLine="567"/>
        <w:jc w:val="both"/>
        <w:rPr>
          <w:sz w:val="28"/>
          <w:highlight w:val="white"/>
        </w:rPr>
      </w:pPr>
      <w:r>
        <w:rPr>
          <w:sz w:val="28"/>
          <w:highlight w:val="white"/>
        </w:rPr>
        <w:t xml:space="preserve">Evaluation of motor functions of the upper limbs in patients using a DASH questionnaire revealed several gender differences in the studied parameters ("Level of </w:t>
      </w:r>
      <w:r>
        <w:rPr>
          <w:sz w:val="28"/>
          <w:highlight w:val="white"/>
        </w:rPr>
        <w:t xml:space="preserve">Consciousness 1b" and "Level of Consciousness 1c"). Ataxia of one limb was observed in 71.4% of men and 28.6% of women, hemihypersesthesia was more common than normal sensitivity in 55.6% of men and 44.4% of women. </w:t>
      </w:r>
      <w:r>
        <w:rPr>
          <w:sz w:val="28"/>
          <w:highlight w:val="white"/>
        </w:rPr>
        <w:t xml:space="preserve">The use of the </w:t>
      </w:r>
      <w:r>
        <w:rPr>
          <w:sz w:val="28"/>
          <w:highlight w:val="white"/>
        </w:rPr>
        <w:t>ArmeoSpring</w:t>
      </w:r>
      <w:r>
        <w:rPr>
          <w:sz w:val="28"/>
          <w:highlight w:val="white"/>
        </w:rPr>
        <w:t xml:space="preserve"> complex in a comprehensive post-stroke rehabilitation program improved wrist and shoulder flexion, normalized muscle tone, and normalized the contractility of the brachioradialis muscle.</w:t>
      </w:r>
    </w:p>
    <w:p w14:paraId="0F000000">
      <w:pPr>
        <w:widowControl w:val="1"/>
        <w:spacing w:line="360" w:lineRule="auto"/>
        <w:ind w:firstLine="567"/>
        <w:jc w:val="both"/>
        <w:rPr>
          <w:sz w:val="28"/>
          <w:highlight w:val="white"/>
        </w:rPr>
      </w:pPr>
      <w:r>
        <w:rPr>
          <w:b w:val="1"/>
          <w:sz w:val="28"/>
          <w:highlight w:val="white"/>
        </w:rPr>
        <w:t>Key words:</w:t>
      </w:r>
      <w:r>
        <w:rPr>
          <w:sz w:val="28"/>
          <w:highlight w:val="white"/>
        </w:rPr>
        <w:t xml:space="preserve"> stroke patients, rehabilitation system with biofeedback, restoration of lost motor functions.</w:t>
      </w:r>
    </w:p>
    <w:p w14:paraId="10000000">
      <w:pPr>
        <w:widowControl w:val="1"/>
        <w:spacing w:line="360" w:lineRule="auto"/>
        <w:ind w:firstLine="709"/>
        <w:jc w:val="center"/>
        <w:rPr>
          <w:b w:val="1"/>
          <w:sz w:val="28"/>
        </w:rPr>
      </w:pPr>
      <w:r>
        <w:rPr>
          <w:b w:val="1"/>
          <w:sz w:val="28"/>
        </w:rPr>
        <w:t>Введение</w:t>
      </w:r>
      <w:r>
        <w:rPr>
          <w:b w:val="1"/>
          <w:sz w:val="28"/>
        </w:rPr>
        <w:t xml:space="preserve">  </w:t>
      </w:r>
    </w:p>
    <w:p w14:paraId="1100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>Острое нарушение мозгового кровообращения (</w:t>
      </w:r>
      <w:r>
        <w:rPr>
          <w:sz w:val="28"/>
        </w:rPr>
        <w:t xml:space="preserve">далее - </w:t>
      </w:r>
      <w:r>
        <w:rPr>
          <w:sz w:val="28"/>
        </w:rPr>
        <w:t xml:space="preserve">ОНМК) является основной причиной большинства случаев инвалидности </w:t>
      </w:r>
      <w:r>
        <w:rPr>
          <w:sz w:val="28"/>
        </w:rPr>
        <w:t>и</w:t>
      </w:r>
      <w:r>
        <w:rPr>
          <w:sz w:val="28"/>
        </w:rPr>
        <w:t xml:space="preserve"> </w:t>
      </w:r>
      <w:r>
        <w:rPr>
          <w:sz w:val="28"/>
        </w:rPr>
        <w:t>смерти</w:t>
      </w:r>
      <w:r>
        <w:rPr>
          <w:sz w:val="28"/>
        </w:rPr>
        <w:t xml:space="preserve"> </w:t>
      </w:r>
      <w:r>
        <w:rPr>
          <w:sz w:val="28"/>
        </w:rPr>
        <w:t>от цереброваскулярных заболеваний [</w:t>
      </w:r>
      <w:r>
        <w:rPr>
          <w:sz w:val="28"/>
        </w:rPr>
        <w:fldChar w:fldCharType="begin"/>
      </w:r>
      <w:r>
        <w:rPr>
          <w:sz w:val="28"/>
        </w:rPr>
        <w:instrText>REF Маслова \r \h</w:instrText>
      </w:r>
      <w:r>
        <w:rPr>
          <w:sz w:val="28"/>
        </w:rPr>
        <w:fldChar w:fldCharType="separate"/>
      </w:r>
      <w:r>
        <w:rPr>
          <w:sz w:val="28"/>
        </w:rPr>
        <w:t>1</w:t>
      </w:r>
      <w:r>
        <w:rPr>
          <w:sz w:val="28"/>
        </w:rPr>
        <w:fldChar w:fldCharType="end"/>
      </w:r>
      <w:r>
        <w:rPr>
          <w:sz w:val="28"/>
        </w:rPr>
        <w:t>,</w:t>
      </w:r>
      <w:r>
        <w:rPr>
          <w:sz w:val="28"/>
        </w:rPr>
        <w:fldChar w:fldCharType="begin"/>
      </w:r>
      <w:r>
        <w:rPr>
          <w:sz w:val="28"/>
        </w:rPr>
        <w:instrText>REF Olczak \r \h</w:instrText>
      </w:r>
      <w:r>
        <w:rPr>
          <w:sz w:val="28"/>
        </w:rPr>
        <w:fldChar w:fldCharType="separate"/>
      </w:r>
      <w:r>
        <w:rPr>
          <w:sz w:val="28"/>
        </w:rPr>
        <w:t>2</w:t>
      </w:r>
      <w:r>
        <w:rPr>
          <w:sz w:val="28"/>
        </w:rPr>
        <w:fldChar w:fldCharType="end"/>
      </w:r>
      <w:r>
        <w:rPr>
          <w:sz w:val="28"/>
        </w:rPr>
        <w:t>,</w:t>
      </w:r>
      <w:r>
        <w:rPr>
          <w:sz w:val="28"/>
        </w:rPr>
        <w:t>3</w:t>
      </w:r>
      <w:r>
        <w:rPr>
          <w:sz w:val="28"/>
        </w:rPr>
        <w:t>]. Согласно международным эпидемиологическим исследованиям, ежегодно в мире от инсульта умирает 4,7 млн. чел</w:t>
      </w:r>
      <w:r>
        <w:rPr>
          <w:sz w:val="28"/>
        </w:rPr>
        <w:t>овек</w:t>
      </w:r>
      <w:r>
        <w:rPr>
          <w:sz w:val="28"/>
        </w:rPr>
        <w:t xml:space="preserve"> [</w:t>
      </w:r>
      <w:r>
        <w:rPr>
          <w:sz w:val="28"/>
        </w:rPr>
        <w:t>4</w:t>
      </w:r>
      <w:r>
        <w:rPr>
          <w:sz w:val="28"/>
        </w:rPr>
        <w:t>]. По данным научной литературы отмечено, что «половина всех инсультов приходится на трудоспособный возраст, и лишь около 20% выживших больных могут вернутся к работе</w:t>
      </w:r>
      <w:r>
        <w:rPr>
          <w:sz w:val="28"/>
        </w:rPr>
        <w:t xml:space="preserve">» </w:t>
      </w:r>
      <w:r>
        <w:rPr>
          <w:sz w:val="28"/>
        </w:rPr>
        <w:t>[5]</w:t>
      </w:r>
      <w:r>
        <w:rPr>
          <w:sz w:val="28"/>
        </w:rPr>
        <w:t xml:space="preserve">. </w:t>
      </w:r>
    </w:p>
    <w:p w14:paraId="1200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>Арсенал средств реабилитации, способствующих восстановлению движений, обширен</w:t>
      </w:r>
      <w:bookmarkStart w:id="2" w:name="_Hlk162779568"/>
      <w:r>
        <w:rPr>
          <w:sz w:val="28"/>
        </w:rPr>
        <w:t xml:space="preserve"> [</w:t>
      </w:r>
      <w:r>
        <w:rPr>
          <w:sz w:val="28"/>
        </w:rPr>
        <w:t>6</w:t>
      </w:r>
      <w:r>
        <w:rPr>
          <w:sz w:val="28"/>
        </w:rPr>
        <w:t>]. Среди новых методик эффективность показывают реабилитационные системы с биологической обратной связью (</w:t>
      </w:r>
      <w:r>
        <w:rPr>
          <w:sz w:val="28"/>
        </w:rPr>
        <w:t xml:space="preserve">далее - </w:t>
      </w:r>
      <w:r>
        <w:rPr>
          <w:sz w:val="28"/>
        </w:rPr>
        <w:t xml:space="preserve">БОС). Этот метод основан на использовании электромиографии и других биологических сигналов (световых, звуковых, движущихся картинок или даже игры на экране монитора) для обучения пациента контролировать свои физические функции. В процессе реабилитации с БОС реализуется ряд условий, включающих проведение занятий в окружении, максимально приближенном к реальной жизни, что позволяет пациенту контролировать правильность выполнения двигательной задачи и корректировать свои действия. </w:t>
      </w:r>
      <w:bookmarkStart w:id="3" w:name="_Hlk162784236"/>
      <w:r>
        <w:rPr>
          <w:sz w:val="28"/>
        </w:rPr>
        <w:t xml:space="preserve">Главное преимущество БОС-терапии заключается в том, что техническое устройство способно через </w:t>
      </w:r>
      <w:r>
        <w:rPr>
          <w:sz w:val="28"/>
        </w:rPr>
        <w:t>эффект</w:t>
      </w:r>
      <w:r>
        <w:rPr>
          <w:sz w:val="28"/>
        </w:rPr>
        <w:t xml:space="preserve"> </w:t>
      </w:r>
      <w:r>
        <w:rPr>
          <w:sz w:val="28"/>
        </w:rPr>
        <w:t>нейропластичности</w:t>
      </w:r>
      <w:r>
        <w:rPr>
          <w:sz w:val="28"/>
        </w:rPr>
        <w:t xml:space="preserve"> помочь мозгу восстановить моторную функцию по принципу обратной биологической связи от стимулируемых мышц, то есть индуцировать моторное переобучение. </w:t>
      </w:r>
      <w:bookmarkEnd w:id="2"/>
      <w:bookmarkEnd w:id="3"/>
    </w:p>
    <w:p w14:paraId="1300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>Данные исследований свидетельствуют, что несмотря на успехи современной реабилитации большое число больных, после инсульта остаются инвалидами [</w:t>
      </w:r>
      <w:r>
        <w:rPr>
          <w:sz w:val="28"/>
        </w:rPr>
        <w:t>5, 7</w:t>
      </w:r>
      <w:r>
        <w:rPr>
          <w:sz w:val="28"/>
        </w:rPr>
        <w:t xml:space="preserve">, </w:t>
      </w:r>
      <w:r>
        <w:rPr>
          <w:sz w:val="28"/>
        </w:rPr>
        <w:fldChar w:fldCharType="begin"/>
      </w:r>
      <w:r>
        <w:rPr>
          <w:sz w:val="28"/>
        </w:rPr>
        <w:instrText>REF Левин \r \h</w:instrText>
      </w:r>
      <w:r>
        <w:rPr>
          <w:sz w:val="28"/>
        </w:rPr>
        <w:fldChar w:fldCharType="separate"/>
      </w:r>
      <w:r>
        <w:rPr>
          <w:sz w:val="28"/>
        </w:rPr>
        <w:t>8</w:t>
      </w:r>
      <w:r>
        <w:rPr>
          <w:sz w:val="28"/>
        </w:rPr>
        <w:fldChar w:fldCharType="end"/>
      </w:r>
      <w:r>
        <w:rPr>
          <w:sz w:val="28"/>
        </w:rPr>
        <w:t xml:space="preserve">]. Вместе с тем известно, что наиболее полного восстановления утраченных </w:t>
      </w:r>
      <w:r>
        <w:rPr>
          <w:sz w:val="28"/>
        </w:rPr>
        <w:t>двигательных функций у пациентов после инсульта удаётся добиться в течение первого года после возникновения ОНМК. Полноценная реабилитация с использованием современных методик (с биологической обратной связью) приобретает важную задачу не только для здравоохранения, но и для государства в целом.</w:t>
      </w:r>
    </w:p>
    <w:p w14:paraId="14000000">
      <w:pPr>
        <w:widowControl w:val="1"/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 xml:space="preserve">Современный комплекс, который применяется при восстановлении двигательных функций </w:t>
      </w:r>
      <w:r>
        <w:rPr>
          <w:sz w:val="28"/>
        </w:rPr>
        <w:t>–</w:t>
      </w:r>
      <w:r>
        <w:rPr>
          <w:sz w:val="28"/>
        </w:rPr>
        <w:t xml:space="preserve"> </w:t>
      </w:r>
      <w:r>
        <w:rPr>
          <w:sz w:val="28"/>
        </w:rPr>
        <w:t xml:space="preserve">это </w:t>
      </w:r>
      <w:r>
        <w:rPr>
          <w:sz w:val="28"/>
        </w:rPr>
        <w:t>ArmeoSpring</w:t>
      </w:r>
      <w:r>
        <w:rPr>
          <w:sz w:val="28"/>
        </w:rPr>
        <w:t xml:space="preserve">. Программное обеспечение </w:t>
      </w:r>
      <w:r>
        <w:rPr>
          <w:sz w:val="28"/>
        </w:rPr>
        <w:t>ArmeoSpring</w:t>
      </w:r>
      <w:r>
        <w:rPr>
          <w:sz w:val="28"/>
        </w:rPr>
        <w:t xml:space="preserve"> позволяет создавать базы данных пациентов, индивидуализировать параметры терапии для каждого пациента, изменять уровни сложности упражнений, включает игры и задания для мотивации пациента и обеспечи</w:t>
      </w:r>
      <w:r>
        <w:rPr>
          <w:sz w:val="28"/>
        </w:rPr>
        <w:t>ть</w:t>
      </w:r>
      <w:r>
        <w:rPr>
          <w:sz w:val="28"/>
        </w:rPr>
        <w:t xml:space="preserve"> прозрачную отчётность. </w:t>
      </w:r>
      <w:r>
        <w:rPr>
          <w:sz w:val="28"/>
        </w:rPr>
        <w:t>ArmeoSpring</w:t>
      </w:r>
      <w:r>
        <w:rPr>
          <w:sz w:val="28"/>
        </w:rPr>
        <w:t xml:space="preserve"> – это профессиональный инструмент для терапии и оценки прогресса. </w:t>
      </w:r>
    </w:p>
    <w:p w14:paraId="15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Комплекс включает</w:t>
      </w:r>
      <w:r>
        <w:rPr>
          <w:sz w:val="28"/>
        </w:rPr>
        <w:t xml:space="preserve"> три диагностические программы, называемые оценочными играми, в том числе «вертикальная ловля», «горизонтальная ловля» и «время реакции» [</w:t>
      </w:r>
      <w:r>
        <w:rPr>
          <w:sz w:val="28"/>
        </w:rPr>
        <w:t>9</w:t>
      </w:r>
      <w:r>
        <w:rPr>
          <w:sz w:val="28"/>
        </w:rPr>
        <w:t xml:space="preserve">]. Движение инициируется пациентом, </w:t>
      </w:r>
      <w:r>
        <w:rPr>
          <w:sz w:val="28"/>
        </w:rPr>
        <w:t>а</w:t>
      </w:r>
      <w:r>
        <w:rPr>
          <w:sz w:val="28"/>
        </w:rPr>
        <w:t xml:space="preserve"> основным преимуществом устройства является определение положения и движения верхней конечности. Более того, поддержка верхней конечности позволяет повысить мобильность в трёхмерном пространстве</w:t>
      </w:r>
      <w:r>
        <w:rPr>
          <w:sz w:val="28"/>
        </w:rPr>
        <w:t>.</w:t>
      </w:r>
      <w:r>
        <w:rPr>
          <w:sz w:val="28"/>
        </w:rPr>
        <w:t xml:space="preserve"> </w:t>
      </w:r>
    </w:p>
    <w:p w14:paraId="16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Преимущества комплекса заключаются в том, что, начиная процесс восстановления в стационаре, пациент обучается принципам работы с системой и продолжает следовать программе после выписки. Применение освоенной в стационаре системы облегчает переход и к самостоятельной работе. График, определённый специалистом, позволяет избежать и перетренированности, которая на ряду с недостаточной нагрузкой являются частыми причинами ухудшения или отсутствия результата у пациентов.</w:t>
      </w:r>
    </w:p>
    <w:p w14:paraId="17000000">
      <w:pPr>
        <w:widowControl w:val="1"/>
        <w:spacing w:line="360" w:lineRule="auto"/>
        <w:ind w:firstLine="567"/>
        <w:jc w:val="center"/>
        <w:rPr>
          <w:b w:val="1"/>
          <w:sz w:val="28"/>
        </w:rPr>
      </w:pPr>
      <w:r>
        <w:rPr>
          <w:b w:val="1"/>
          <w:sz w:val="28"/>
        </w:rPr>
        <w:t>Материалы и методы исследований</w:t>
      </w:r>
    </w:p>
    <w:p w14:paraId="1800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>Цель</w:t>
      </w:r>
      <w:r>
        <w:rPr>
          <w:sz w:val="28"/>
        </w:rPr>
        <w:t xml:space="preserve"> исследования </w:t>
      </w:r>
      <w:r>
        <w:rPr>
          <w:sz w:val="28"/>
        </w:rPr>
        <w:t>-</w:t>
      </w:r>
      <w:r>
        <w:rPr>
          <w:sz w:val="28"/>
        </w:rPr>
        <w:t xml:space="preserve"> научно</w:t>
      </w:r>
      <w:r>
        <w:rPr>
          <w:sz w:val="28"/>
        </w:rPr>
        <w:t>е</w:t>
      </w:r>
      <w:r>
        <w:rPr>
          <w:sz w:val="28"/>
        </w:rPr>
        <w:t xml:space="preserve"> обосновани</w:t>
      </w:r>
      <w:r>
        <w:rPr>
          <w:sz w:val="28"/>
        </w:rPr>
        <w:t>е</w:t>
      </w:r>
      <w:r>
        <w:rPr>
          <w:sz w:val="28"/>
        </w:rPr>
        <w:t xml:space="preserve"> и оценк</w:t>
      </w:r>
      <w:r>
        <w:rPr>
          <w:sz w:val="28"/>
        </w:rPr>
        <w:t>а</w:t>
      </w:r>
      <w:r>
        <w:rPr>
          <w:sz w:val="28"/>
        </w:rPr>
        <w:t xml:space="preserve"> эффективности методов физической реабилитации с применением биологической обратной связи для восстановления двигательных функций у пациентов, перенёсших инсульт.</w:t>
      </w:r>
    </w:p>
    <w:p w14:paraId="19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Исследование пров</w:t>
      </w:r>
      <w:r>
        <w:rPr>
          <w:sz w:val="28"/>
        </w:rPr>
        <w:t>одилось</w:t>
      </w:r>
      <w:r>
        <w:rPr>
          <w:sz w:val="28"/>
        </w:rPr>
        <w:t xml:space="preserve"> в Отделении восстановительной медицины и реабилитации   Медицинского комплекса Д</w:t>
      </w:r>
      <w:r>
        <w:rPr>
          <w:sz w:val="28"/>
        </w:rPr>
        <w:t>альневосточного федерального университета</w:t>
      </w:r>
      <w:r>
        <w:rPr>
          <w:sz w:val="28"/>
        </w:rPr>
        <w:t>. В</w:t>
      </w:r>
      <w:r>
        <w:rPr>
          <w:sz w:val="28"/>
        </w:rPr>
        <w:t xml:space="preserve"> исследовании приняли участие</w:t>
      </w:r>
      <w:r>
        <w:rPr>
          <w:sz w:val="28"/>
        </w:rPr>
        <w:t xml:space="preserve"> 28 пациентов (16 мужчин и 12 </w:t>
      </w:r>
      <w:r>
        <w:rPr>
          <w:sz w:val="28"/>
        </w:rPr>
        <w:t xml:space="preserve">женщин) с ишемическим инсультом с преимущественным поражением верхних конечностей. Возраст пациентов составлял 54-60 лет. </w:t>
      </w:r>
      <w:bookmarkStart w:id="4" w:name="_Hlk195997227"/>
      <w:r>
        <w:rPr>
          <w:sz w:val="28"/>
        </w:rPr>
        <w:t xml:space="preserve">Оценка </w:t>
      </w:r>
      <w:bookmarkStart w:id="5" w:name="_Hlk195999555"/>
      <w:r>
        <w:rPr>
          <w:sz w:val="28"/>
        </w:rPr>
        <w:t xml:space="preserve">нарушений у пациентов </w:t>
      </w:r>
      <w:bookmarkEnd w:id="5"/>
      <w:r>
        <w:rPr>
          <w:sz w:val="28"/>
        </w:rPr>
        <w:t xml:space="preserve">по шкале инсультов </w:t>
      </w:r>
      <w:r>
        <w:rPr>
          <w:sz w:val="28"/>
        </w:rPr>
        <w:t xml:space="preserve">Национального института здоровья </w:t>
      </w:r>
      <w:r>
        <w:rPr>
          <w:sz w:val="28"/>
        </w:rPr>
        <w:t>(</w:t>
      </w:r>
      <w:r>
        <w:rPr>
          <w:sz w:val="28"/>
        </w:rPr>
        <w:t>National</w:t>
      </w:r>
      <w:r>
        <w:rPr>
          <w:sz w:val="28"/>
        </w:rPr>
        <w:t xml:space="preserve"> </w:t>
      </w:r>
      <w:r>
        <w:rPr>
          <w:sz w:val="28"/>
        </w:rPr>
        <w:t>Institute</w:t>
      </w:r>
      <w:r>
        <w:rPr>
          <w:sz w:val="28"/>
        </w:rPr>
        <w:t xml:space="preserve"> </w:t>
      </w:r>
      <w:r>
        <w:rPr>
          <w:sz w:val="28"/>
        </w:rPr>
        <w:t>for</w:t>
      </w:r>
      <w:r>
        <w:rPr>
          <w:sz w:val="28"/>
        </w:rPr>
        <w:t xml:space="preserve"> </w:t>
      </w:r>
      <w:r>
        <w:rPr>
          <w:sz w:val="28"/>
        </w:rPr>
        <w:t>Health</w:t>
      </w:r>
      <w:r>
        <w:rPr>
          <w:sz w:val="28"/>
        </w:rPr>
        <w:t xml:space="preserve"> </w:t>
      </w:r>
      <w:r>
        <w:rPr>
          <w:sz w:val="28"/>
        </w:rPr>
        <w:t>Stroke</w:t>
      </w:r>
      <w:r>
        <w:rPr>
          <w:sz w:val="28"/>
        </w:rPr>
        <w:t xml:space="preserve"> </w:t>
      </w:r>
      <w:r>
        <w:rPr>
          <w:sz w:val="28"/>
        </w:rPr>
        <w:t>Scale</w:t>
      </w:r>
      <w:r>
        <w:rPr>
          <w:sz w:val="28"/>
        </w:rPr>
        <w:t xml:space="preserve">, далее-«шкала инсульта </w:t>
      </w:r>
      <w:r>
        <w:rPr>
          <w:sz w:val="28"/>
        </w:rPr>
        <w:t>NIHSS</w:t>
      </w:r>
      <w:r>
        <w:rPr>
          <w:sz w:val="28"/>
        </w:rPr>
        <w:t>»)</w:t>
      </w:r>
      <w:r>
        <w:rPr>
          <w:sz w:val="28"/>
        </w:rPr>
        <w:t xml:space="preserve"> показала, что у большинства пациентов выявлен инсульт средней тяжести. </w:t>
      </w:r>
    </w:p>
    <w:p w14:paraId="1A000000">
      <w:pPr>
        <w:widowControl w:val="1"/>
        <w:spacing w:line="360" w:lineRule="auto"/>
        <w:ind w:firstLine="709"/>
        <w:jc w:val="both"/>
        <w:rPr>
          <w:sz w:val="28"/>
        </w:rPr>
      </w:pPr>
      <w:bookmarkStart w:id="6" w:name="_Hlk101025262"/>
      <w:r>
        <w:rPr>
          <w:sz w:val="28"/>
        </w:rPr>
        <w:t>И</w:t>
      </w:r>
      <w:r>
        <w:rPr>
          <w:sz w:val="28"/>
        </w:rPr>
        <w:t>спользова</w:t>
      </w:r>
      <w:r>
        <w:rPr>
          <w:sz w:val="28"/>
        </w:rPr>
        <w:t>лись</w:t>
      </w:r>
      <w:r>
        <w:rPr>
          <w:sz w:val="28"/>
        </w:rPr>
        <w:t xml:space="preserve"> следующие методы научного исследования:</w:t>
      </w:r>
      <w:bookmarkEnd w:id="6"/>
    </w:p>
    <w:p w14:paraId="1B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анализ и обобщение литературных источников. </w:t>
      </w:r>
      <w:r>
        <w:rPr>
          <w:sz w:val="28"/>
        </w:rPr>
        <w:t xml:space="preserve">Проводился теоретический </w:t>
      </w:r>
      <w:bookmarkStart w:id="7" w:name="_Hlk195458680"/>
      <w:r>
        <w:rPr>
          <w:sz w:val="28"/>
        </w:rPr>
        <w:t>анализ и обобщение информационных источников научной и научно-методической литературы. Изучены работы, отражающие общетеоретические и концептуальные вопросы различных методов реабилитации с биологической обратной связью при восстановлении двигательной функции пациентов, перенёсших инсульт. Данные, полученные в результате анализа и обобщения материалов по исследуемому вопросу, позволили создать теоретическое обоснование проблемы и определить основные пути ее решения анализ и обобщение информационных источников научной и научно-методической литературы</w:t>
      </w:r>
      <w:r>
        <w:rPr>
          <w:sz w:val="28"/>
        </w:rPr>
        <w:t>.</w:t>
      </w:r>
      <w:bookmarkEnd w:id="7"/>
    </w:p>
    <w:p w14:paraId="1C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В</w:t>
      </w:r>
      <w:r>
        <w:rPr>
          <w:sz w:val="28"/>
        </w:rPr>
        <w:t xml:space="preserve">рачебно-педагогическое тестирование. </w:t>
      </w:r>
      <w:bookmarkStart w:id="8" w:name="_Hlk195996983"/>
      <w:r>
        <w:rPr>
          <w:sz w:val="28"/>
        </w:rPr>
        <w:t xml:space="preserve">Оценка нарушений у пациентов, вызванных инсультом </w:t>
      </w:r>
      <w:bookmarkEnd w:id="8"/>
      <w:r>
        <w:rPr>
          <w:sz w:val="28"/>
        </w:rPr>
        <w:t>выполнена с помощью «</w:t>
      </w:r>
      <w:r>
        <w:rPr>
          <w:sz w:val="28"/>
        </w:rPr>
        <w:t>шкалы инсульта NIHSS»</w:t>
      </w:r>
      <w:r>
        <w:rPr>
          <w:sz w:val="28"/>
        </w:rPr>
        <w:t xml:space="preserve">. С помощью шкалы оценивались такие признаки, как сознание, движение глазных яблок, поля зрения, паралич лицевой мускулатуры, движение в верхней конечности (правой или левой) на стороне пареза, движение в нижней конечности (правой или левой) на стороне пареза, атаксия в конечностях, чувствительность, синдром отрицания, дизартрия, афазия. По каждому пункту оценка </w:t>
      </w:r>
      <w:r>
        <w:rPr>
          <w:sz w:val="28"/>
        </w:rPr>
        <w:t>«</w:t>
      </w:r>
      <w:r>
        <w:rPr>
          <w:sz w:val="28"/>
        </w:rPr>
        <w:t>0</w:t>
      </w:r>
      <w:r>
        <w:rPr>
          <w:sz w:val="28"/>
        </w:rPr>
        <w:t>»</w:t>
      </w:r>
      <w:r>
        <w:rPr>
          <w:sz w:val="28"/>
        </w:rPr>
        <w:t xml:space="preserve"> обычно указывает на нормальную функцию этой конкретной способности, в то время как более высокий балл указывает </w:t>
      </w:r>
      <w:r>
        <w:rPr>
          <w:sz w:val="28"/>
        </w:rPr>
        <w:t>на некоторый уровень нарушений» [</w:t>
      </w:r>
      <w:r>
        <w:rPr>
          <w:sz w:val="28"/>
        </w:rPr>
        <w:t>10</w:t>
      </w:r>
      <w:r>
        <w:rPr>
          <w:sz w:val="28"/>
        </w:rPr>
        <w:t>]. Интерпретация шкалы NIHSS представлена в табл</w:t>
      </w:r>
      <w:r>
        <w:rPr>
          <w:sz w:val="28"/>
        </w:rPr>
        <w:t>.</w:t>
      </w:r>
      <w:r>
        <w:rPr>
          <w:sz w:val="28"/>
        </w:rPr>
        <w:t xml:space="preserve"> </w:t>
      </w:r>
      <w:r>
        <w:rPr>
          <w:sz w:val="28"/>
        </w:rPr>
        <w:t>1</w:t>
      </w:r>
      <w:r>
        <w:rPr>
          <w:sz w:val="28"/>
        </w:rPr>
        <w:t>.</w:t>
      </w:r>
      <w:r>
        <w:rPr>
          <w:sz w:val="28"/>
        </w:rPr>
        <w:t xml:space="preserve"> </w:t>
      </w:r>
    </w:p>
    <w:p w14:paraId="1D000000">
      <w:pPr>
        <w:widowControl w:val="1"/>
        <w:spacing w:line="360" w:lineRule="auto"/>
        <w:ind w:firstLine="709"/>
        <w:jc w:val="right"/>
        <w:rPr>
          <w:sz w:val="28"/>
        </w:rPr>
      </w:pPr>
      <w:r>
        <w:rPr>
          <w:sz w:val="28"/>
        </w:rPr>
        <w:t>Таблица 1</w:t>
      </w:r>
    </w:p>
    <w:p w14:paraId="1E000000">
      <w:pPr>
        <w:widowControl w:val="1"/>
        <w:spacing w:line="360" w:lineRule="auto"/>
        <w:ind/>
        <w:jc w:val="center"/>
        <w:rPr>
          <w:sz w:val="28"/>
        </w:rPr>
      </w:pPr>
      <w:r>
        <w:rPr>
          <w:sz w:val="28"/>
        </w:rPr>
        <w:t xml:space="preserve"> </w:t>
      </w:r>
      <w:bookmarkStart w:id="9" w:name="_Hlk210134717"/>
      <w:r>
        <w:rPr>
          <w:sz w:val="28"/>
        </w:rPr>
        <w:t>Шкала инсульта институтов здравоохранения (NIHSS)</w:t>
      </w:r>
      <w:bookmarkEnd w:id="9"/>
    </w:p>
    <w:p w14:paraId="1F000000">
      <w:pPr>
        <w:widowControl w:val="1"/>
        <w:spacing w:line="360" w:lineRule="auto"/>
        <w:ind/>
        <w:jc w:val="right"/>
        <w:rPr>
          <w:sz w:val="28"/>
        </w:rPr>
      </w:pPr>
      <w:r>
        <w:rPr>
          <w:sz w:val="28"/>
        </w:rPr>
        <w:t>Table 1</w:t>
      </w:r>
    </w:p>
    <w:p w14:paraId="20000000">
      <w:pPr>
        <w:widowControl w:val="1"/>
        <w:spacing w:line="360" w:lineRule="auto"/>
        <w:ind/>
        <w:jc w:val="center"/>
        <w:rPr>
          <w:sz w:val="28"/>
        </w:rPr>
      </w:pPr>
      <w:r>
        <w:rPr>
          <w:sz w:val="28"/>
        </w:rPr>
        <w:t>National Institutes of Health Stroke Scale (NIHSS)</w:t>
      </w:r>
      <w:bookmarkStart w:id="10" w:name="_GoBack"/>
      <w:bookmarkEnd w:id="10"/>
    </w:p>
    <w:tbl>
      <w:tblPr>
        <w:tblStyle w:val="Style_2"/>
        <w:tblW w:type="auto" w:w="0"/>
        <w:jc w:val="center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732"/>
        <w:gridCol w:w="4719"/>
      </w:tblGrid>
      <w:tr>
        <w:tc>
          <w:tcPr>
            <w:tcW w:type="dxa" w:w="47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Оценка в баллах</w:t>
            </w:r>
          </w:p>
        </w:tc>
        <w:tc>
          <w:tcPr>
            <w:tcW w:type="dxa" w:w="47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Тяжесть инсульта</w:t>
            </w:r>
          </w:p>
        </w:tc>
      </w:tr>
      <w:tr>
        <w:tc>
          <w:tcPr>
            <w:tcW w:type="dxa" w:w="47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type="dxa" w:w="47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Симптомов инсульта нет</w:t>
            </w:r>
          </w:p>
        </w:tc>
      </w:tr>
      <w:tr>
        <w:tc>
          <w:tcPr>
            <w:tcW w:type="dxa" w:w="47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type="dxa" w:w="47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Лёгкий</w:t>
            </w:r>
          </w:p>
        </w:tc>
      </w:tr>
      <w:tr>
        <w:tc>
          <w:tcPr>
            <w:tcW w:type="dxa" w:w="47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5-15</w:t>
            </w:r>
          </w:p>
        </w:tc>
        <w:tc>
          <w:tcPr>
            <w:tcW w:type="dxa" w:w="47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Инсульт средней тяжести</w:t>
            </w:r>
          </w:p>
        </w:tc>
      </w:tr>
      <w:tr>
        <w:tc>
          <w:tcPr>
            <w:tcW w:type="dxa" w:w="47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16-20</w:t>
            </w:r>
          </w:p>
        </w:tc>
        <w:tc>
          <w:tcPr>
            <w:tcW w:type="dxa" w:w="47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00000">
            <w:pPr>
              <w:widowControl w:val="1"/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Тяжёлый инсульт</w:t>
            </w:r>
          </w:p>
        </w:tc>
      </w:tr>
    </w:tbl>
    <w:p w14:paraId="2B000000">
      <w:pPr>
        <w:widowControl w:val="1"/>
        <w:spacing w:line="360" w:lineRule="auto"/>
        <w:ind w:firstLine="709"/>
        <w:jc w:val="both"/>
        <w:rPr>
          <w:sz w:val="28"/>
        </w:rPr>
      </w:pPr>
    </w:p>
    <w:p w14:paraId="2C000000">
      <w:pPr>
        <w:widowControl w:val="1"/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Оценка двигательных функций верхних конечностей пациентов, перенёсших инсульт проведена с помощью опросника DASH [</w:t>
      </w:r>
      <w:r>
        <w:rPr>
          <w:sz w:val="28"/>
        </w:rPr>
        <w:fldChar w:fldCharType="begin"/>
      </w:r>
      <w:r>
        <w:rPr>
          <w:sz w:val="28"/>
        </w:rPr>
        <w:instrText>REF Hudak \r \h</w:instrText>
      </w:r>
      <w:r>
        <w:rPr>
          <w:sz w:val="28"/>
        </w:rPr>
        <w:fldChar w:fldCharType="separate"/>
      </w:r>
      <w:r>
        <w:rPr>
          <w:sz w:val="28"/>
        </w:rPr>
        <w:t>11</w:t>
      </w:r>
      <w:r>
        <w:rPr>
          <w:sz w:val="28"/>
        </w:rPr>
        <w:fldChar w:fldCharType="end"/>
      </w:r>
      <w:r>
        <w:rPr>
          <w:sz w:val="28"/>
        </w:rPr>
        <w:t>]</w:t>
      </w:r>
      <w:r>
        <w:rPr>
          <w:sz w:val="28"/>
        </w:rPr>
        <w:t xml:space="preserve">. Основной раздел опросника состоит из 30 пунктов-вопросов, связанных с состоянием функций верхних конечностей за последнюю неделю. Вместе с тем 21 из них определяет степень трудности выполнения различных физических действий по причине ограничения функции плеча или кисти; 6 пунктов касаются выраженности некоторых симптомов и 3 – социально-ролевых функций. Каждый пункт имеет 5 вариантов ответов, оцениваемых в баллах от 1 до 5. Далее сумму баллов по всем пунктам преобразовывают на 100-балльную шкалу, </w:t>
      </w:r>
      <w:r>
        <w:rPr>
          <w:sz w:val="28"/>
        </w:rPr>
        <w:t xml:space="preserve">где </w:t>
      </w:r>
      <w:r>
        <w:rPr>
          <w:sz w:val="28"/>
        </w:rPr>
        <w:t>n</w:t>
      </w:r>
      <w:r>
        <w:rPr>
          <w:sz w:val="28"/>
        </w:rPr>
        <w:t xml:space="preserve"> = колическтво заполненных ответов.</w:t>
      </w:r>
      <w:r>
        <w:t xml:space="preserve"> </w:t>
      </w:r>
      <w:r>
        <w:rPr>
          <w:sz w:val="28"/>
        </w:rPr>
        <w:t>Формула опросника DASH</w:t>
      </w:r>
      <w:r>
        <w:rPr>
          <w:sz w:val="28"/>
        </w:rPr>
        <w:t>:</w:t>
      </w:r>
    </w:p>
    <w:p w14:paraId="2D000000">
      <w:pPr>
        <w:widowControl w:val="1"/>
        <w:spacing w:line="360" w:lineRule="auto"/>
        <w:ind w:firstLine="709"/>
        <w:jc w:val="both"/>
        <w:rPr>
          <w:sz w:val="28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2307590</wp:posOffset>
            </wp:positionH>
            <wp:positionV relativeFrom="paragraph">
              <wp:posOffset>27305</wp:posOffset>
            </wp:positionV>
            <wp:extent cx="1847850" cy="568067"/>
            <wp:effectExtent b="0" l="0" r="0" t="0"/>
            <wp:wrapNone/>
            <wp:docPr hidden="false" id="1" name="Picture 1"/>
            <a:graphic>
              <a:graphicData uri="http://schemas.openxmlformats.org/drawingml/2006/picture">
                <pic:pic>
                  <pic:nvPicPr>
                    <pic:cNvPr hidden="false" id="2" name="Picture 2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1847850" cy="568067"/>
                    </a:xfrm>
                    <a:prstGeom prst="rect"/>
                  </pic:spPr>
                </pic:pic>
              </a:graphicData>
            </a:graphic>
          </wp:anchor>
        </w:drawing>
      </w:r>
    </w:p>
    <w:p w14:paraId="2E000000">
      <w:pPr>
        <w:widowControl w:val="1"/>
        <w:spacing w:line="360" w:lineRule="auto"/>
        <w:ind w:firstLine="708"/>
        <w:jc w:val="both"/>
        <w:rPr>
          <w:sz w:val="28"/>
        </w:rPr>
      </w:pPr>
    </w:p>
    <w:p w14:paraId="2F000000">
      <w:pPr>
        <w:widowControl w:val="1"/>
        <w:spacing w:line="360" w:lineRule="auto"/>
        <w:ind w:firstLine="708"/>
        <w:jc w:val="both"/>
        <w:rPr>
          <w:sz w:val="28"/>
        </w:rPr>
      </w:pPr>
    </w:p>
    <w:p w14:paraId="30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Функцию</w:t>
      </w:r>
      <w:r>
        <w:rPr>
          <w:sz w:val="28"/>
        </w:rPr>
        <w:t xml:space="preserve"> верхней конечности оценивают</w:t>
      </w:r>
      <w:r>
        <w:rPr>
          <w:sz w:val="28"/>
        </w:rPr>
        <w:t xml:space="preserve"> по бальной системе</w:t>
      </w:r>
      <w:r>
        <w:rPr>
          <w:sz w:val="28"/>
        </w:rPr>
        <w:t>: 0-50 баллов –</w:t>
      </w:r>
      <w:r>
        <w:rPr>
          <w:sz w:val="28"/>
        </w:rPr>
        <w:t xml:space="preserve"> хорошая функциональность; 51-75 баллов – удовлетворительная; 76-100 баллов – неудовлетворительная. </w:t>
      </w:r>
    </w:p>
    <w:p w14:paraId="31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 xml:space="preserve">Также до и после эксперимента нами были проведены следующие контрольные испытания: с помощью метода гониометрии определяли количественную </w:t>
      </w:r>
      <w:bookmarkStart w:id="11" w:name="_Hlk195394579"/>
      <w:r>
        <w:rPr>
          <w:sz w:val="28"/>
        </w:rPr>
        <w:t>оценку амплитуды движений в лучезапястном, локтевом и плечевом суставах</w:t>
      </w:r>
      <w:bookmarkEnd w:id="11"/>
      <w:r>
        <w:rPr>
          <w:sz w:val="28"/>
        </w:rPr>
        <w:t>. Использовали специализированный измерительный инструмент - гониометр. Измеряли исходное положение сустава, его нейтральную позицию или угол, под которым установилось динамическое равновесие мышц-антагонистов, и угол сгибания. Затем определяли амплитуду движений сустава, вычисляя разницу между углами сгибания и разгибания [</w:t>
      </w:r>
      <w:r>
        <w:rPr>
          <w:sz w:val="28"/>
        </w:rPr>
        <w:fldChar w:fldCharType="begin"/>
      </w:r>
      <w:r>
        <w:rPr>
          <w:sz w:val="28"/>
        </w:rPr>
        <w:instrText>REF _Ref195455676 \r \h</w:instrText>
      </w:r>
      <w:r>
        <w:rPr>
          <w:sz w:val="28"/>
        </w:rPr>
        <w:fldChar w:fldCharType="separate"/>
      </w:r>
      <w:r>
        <w:rPr>
          <w:sz w:val="28"/>
        </w:rPr>
        <w:t>#</w:t>
      </w:r>
      <w:r>
        <w:rPr>
          <w:sz w:val="28"/>
        </w:rPr>
        <w:fldChar w:fldCharType="end"/>
      </w:r>
      <w:r>
        <w:rPr>
          <w:sz w:val="28"/>
        </w:rPr>
        <w:t xml:space="preserve">]. </w:t>
      </w:r>
    </w:p>
    <w:p w14:paraId="32000000">
      <w:pPr>
        <w:widowControl w:val="1"/>
        <w:tabs>
          <w:tab w:leader="none" w:pos="851" w:val="left"/>
          <w:tab w:leader="none" w:pos="993" w:val="left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 xml:space="preserve">Оценка мышечного тонуса плечелучевой мышцы пациентов выполнена с помощью метода </w:t>
      </w:r>
      <w:r>
        <w:rPr>
          <w:sz w:val="28"/>
        </w:rPr>
        <w:t>миотонометрии</w:t>
      </w:r>
      <w:r>
        <w:rPr>
          <w:sz w:val="28"/>
        </w:rPr>
        <w:t xml:space="preserve"> [</w:t>
      </w:r>
      <w:r>
        <w:rPr>
          <w:sz w:val="28"/>
        </w:rPr>
        <w:t>12</w:t>
      </w:r>
      <w:r>
        <w:rPr>
          <w:sz w:val="28"/>
        </w:rPr>
        <w:t xml:space="preserve">]. </w:t>
      </w:r>
      <w:r>
        <w:rPr>
          <w:sz w:val="28"/>
        </w:rPr>
        <w:t>Миотонометр</w:t>
      </w:r>
      <w:r>
        <w:rPr>
          <w:sz w:val="28"/>
        </w:rPr>
        <w:t xml:space="preserve"> ставился на исследуемую мышцу вертикально, и по шкале в условных единицах (</w:t>
      </w:r>
      <w:r>
        <w:rPr>
          <w:sz w:val="28"/>
        </w:rPr>
        <w:t>миотонах</w:t>
      </w:r>
      <w:r>
        <w:rPr>
          <w:sz w:val="28"/>
        </w:rPr>
        <w:t xml:space="preserve">) измерялось </w:t>
      </w:r>
      <w:r>
        <w:rPr>
          <w:sz w:val="28"/>
        </w:rPr>
        <w:t xml:space="preserve">сопротивление, оказываемое мышцей при погружении в неё металлического стержня прибора. </w:t>
      </w:r>
      <w:bookmarkStart w:id="12" w:name="_Hlk195393536"/>
      <w:r>
        <w:rPr>
          <w:sz w:val="28"/>
        </w:rPr>
        <w:t xml:space="preserve">Прибор </w:t>
      </w:r>
      <w:bookmarkEnd w:id="12"/>
      <w:r>
        <w:rPr>
          <w:sz w:val="28"/>
        </w:rPr>
        <w:t>устанавливался в симметричных точках мышц. Показание записывались при напряжении и расслаблении исследуемой мышцы.</w:t>
      </w:r>
    </w:p>
    <w:p w14:paraId="33000000">
      <w:pPr>
        <w:widowControl w:val="1"/>
        <w:tabs>
          <w:tab w:leader="none" w:pos="851" w:val="left"/>
          <w:tab w:leader="none" w:pos="993" w:val="left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Статистический анализ данных проводился</w:t>
      </w:r>
      <w:r>
        <w:rPr>
          <w:sz w:val="28"/>
        </w:rPr>
        <w:t xml:space="preserve"> с использованием программного обеспечения Microsoft Excel Office 2019. Проведено сравнение процентных долей в таблицах сопряженности. </w:t>
      </w:r>
    </w:p>
    <w:p w14:paraId="34000000">
      <w:pPr>
        <w:widowControl w:val="1"/>
        <w:spacing w:line="360" w:lineRule="auto"/>
        <w:ind w:firstLine="567"/>
        <w:jc w:val="center"/>
        <w:rPr>
          <w:b w:val="1"/>
          <w:sz w:val="28"/>
        </w:rPr>
      </w:pPr>
      <w:r>
        <w:rPr>
          <w:b w:val="1"/>
          <w:sz w:val="28"/>
        </w:rPr>
        <w:t>Результаты и обсуждени</w:t>
      </w:r>
      <w:r>
        <w:rPr>
          <w:b w:val="1"/>
          <w:sz w:val="28"/>
        </w:rPr>
        <w:t>е</w:t>
      </w:r>
    </w:p>
    <w:p w14:paraId="35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На предварительном этапе исследовалась оценка </w:t>
      </w:r>
      <w:r>
        <w:rPr>
          <w:sz w:val="28"/>
        </w:rPr>
        <w:t>двигательных функций верхних конечностей пациентов</w:t>
      </w:r>
      <w:r>
        <w:rPr>
          <w:sz w:val="28"/>
        </w:rPr>
        <w:t xml:space="preserve"> п</w:t>
      </w:r>
      <w:r>
        <w:rPr>
          <w:sz w:val="28"/>
        </w:rPr>
        <w:t>о опроснику DASH (табл</w:t>
      </w:r>
      <w:r>
        <w:rPr>
          <w:sz w:val="28"/>
        </w:rPr>
        <w:t>.</w:t>
      </w:r>
      <w:r>
        <w:rPr>
          <w:sz w:val="28"/>
        </w:rPr>
        <w:t xml:space="preserve"> </w:t>
      </w:r>
      <w:r>
        <w:rPr>
          <w:sz w:val="28"/>
        </w:rPr>
        <w:t>2</w:t>
      </w:r>
      <w:r>
        <w:rPr>
          <w:sz w:val="28"/>
        </w:rPr>
        <w:t>)</w:t>
      </w:r>
      <w:r>
        <w:rPr>
          <w:sz w:val="28"/>
        </w:rPr>
        <w:t>.</w:t>
      </w:r>
    </w:p>
    <w:p w14:paraId="36000000">
      <w:pPr>
        <w:widowControl w:val="1"/>
        <w:spacing w:line="360" w:lineRule="auto"/>
        <w:ind/>
        <w:jc w:val="right"/>
        <w:rPr>
          <w:sz w:val="28"/>
        </w:rPr>
      </w:pPr>
      <w:r>
        <w:rPr>
          <w:sz w:val="28"/>
        </w:rPr>
        <w:t xml:space="preserve">Таблица </w:t>
      </w:r>
      <w:r>
        <w:rPr>
          <w:sz w:val="28"/>
        </w:rPr>
        <w:t>2</w:t>
      </w:r>
      <w:r>
        <w:rPr>
          <w:sz w:val="28"/>
        </w:rPr>
        <w:t xml:space="preserve"> </w:t>
      </w:r>
    </w:p>
    <w:p w14:paraId="37000000">
      <w:pPr>
        <w:widowControl w:val="1"/>
        <w:spacing w:line="360" w:lineRule="auto"/>
        <w:ind/>
        <w:jc w:val="center"/>
        <w:rPr>
          <w:sz w:val="28"/>
        </w:rPr>
      </w:pPr>
      <w:bookmarkStart w:id="13" w:name="_Hlk210134726"/>
      <w:r>
        <w:rPr>
          <w:sz w:val="28"/>
        </w:rPr>
        <w:t xml:space="preserve">Оценка двигательных функций верхних конечностей пациентов по опроснику </w:t>
      </w:r>
      <w:r>
        <w:rPr>
          <w:sz w:val="28"/>
        </w:rPr>
        <w:t xml:space="preserve">DASH </w:t>
      </w:r>
      <w:bookmarkEnd w:id="13"/>
    </w:p>
    <w:p w14:paraId="38000000">
      <w:pPr>
        <w:widowControl w:val="1"/>
        <w:spacing w:line="360" w:lineRule="auto"/>
        <w:ind/>
        <w:jc w:val="right"/>
        <w:rPr>
          <w:sz w:val="28"/>
        </w:rPr>
      </w:pPr>
      <w:r>
        <w:rPr>
          <w:sz w:val="28"/>
        </w:rPr>
        <w:t>Table</w:t>
      </w:r>
      <w:r>
        <w:rPr>
          <w:sz w:val="28"/>
        </w:rPr>
        <w:t xml:space="preserve"> </w:t>
      </w:r>
      <w:r>
        <w:rPr>
          <w:sz w:val="28"/>
        </w:rPr>
        <w:t>2</w:t>
      </w:r>
    </w:p>
    <w:p w14:paraId="39000000">
      <w:pPr>
        <w:widowControl w:val="1"/>
        <w:spacing w:line="360" w:lineRule="auto"/>
        <w:ind/>
        <w:jc w:val="center"/>
        <w:rPr>
          <w:sz w:val="28"/>
        </w:rPr>
      </w:pPr>
      <w:r>
        <w:rPr>
          <w:sz w:val="28"/>
        </w:rPr>
        <w:t>DASH questionnaire assessment of upper limb motor function</w:t>
      </w:r>
    </w:p>
    <w:tbl>
      <w:tblPr>
        <w:tblStyle w:val="Style_2"/>
        <w:tblW w:type="auto" w:w="0"/>
        <w:tblLayout w:type="fixed"/>
      </w:tblPr>
      <w:tblGrid>
        <w:gridCol w:w="2382"/>
        <w:gridCol w:w="3000"/>
        <w:gridCol w:w="810"/>
        <w:gridCol w:w="798"/>
        <w:gridCol w:w="700"/>
        <w:gridCol w:w="951"/>
        <w:gridCol w:w="20"/>
        <w:gridCol w:w="751"/>
        <w:gridCol w:w="792"/>
      </w:tblGrid>
      <w:tr>
        <w:trPr>
          <w:trHeight w:hRule="atLeast" w:val="454"/>
        </w:trPr>
        <w:tc>
          <w:tcPr>
            <w:tcW w:type="dxa" w:w="238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sz w:val="28"/>
              </w:rPr>
              <w:t xml:space="preserve">                      </w:t>
            </w:r>
            <w:bookmarkStart w:id="14" w:name="RANGE!E3"/>
            <w:r>
              <w:rPr>
                <w:color w:val="000000"/>
                <w:sz w:val="28"/>
              </w:rPr>
              <w:t>Признак</w:t>
            </w:r>
            <w:bookmarkEnd w:id="14"/>
          </w:p>
        </w:tc>
        <w:tc>
          <w:tcPr>
            <w:tcW w:type="dxa" w:w="300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Действие</w:t>
            </w:r>
          </w:p>
        </w:tc>
        <w:tc>
          <w:tcPr>
            <w:tcW w:type="dxa" w:w="1608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3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Мужчины (n=16)</w:t>
            </w:r>
          </w:p>
        </w:tc>
        <w:tc>
          <w:tcPr>
            <w:tcW w:type="dxa" w:w="165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3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Женщины (n=12)</w:t>
            </w:r>
          </w:p>
        </w:tc>
        <w:tc>
          <w:tcPr>
            <w:tcW w:type="dxa" w:w="1563"/>
            <w:gridSpan w:val="3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3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Всего (n=28)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3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Абс</w:t>
            </w:r>
            <w:r>
              <w:rPr>
                <w:color w:val="000000"/>
                <w:sz w:val="28"/>
              </w:rPr>
              <w:t>.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%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Абс</w:t>
            </w:r>
            <w:r>
              <w:rPr>
                <w:color w:val="000000"/>
                <w:sz w:val="28"/>
              </w:rPr>
              <w:t>.</w:t>
            </w:r>
          </w:p>
        </w:tc>
        <w:tc>
          <w:tcPr>
            <w:tcW w:type="dxa" w:w="9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%</w:t>
            </w:r>
          </w:p>
        </w:tc>
        <w:tc>
          <w:tcPr>
            <w:tcW w:type="dxa" w:w="7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Абс</w:t>
            </w:r>
            <w:r>
              <w:rPr>
                <w:color w:val="000000"/>
                <w:sz w:val="28"/>
              </w:rPr>
              <w:t>.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%</w:t>
            </w:r>
            <w:bookmarkStart w:id="15" w:name="_Hlk195385462"/>
            <w:bookmarkEnd w:id="15"/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Уровень сознания 1а</w:t>
            </w:r>
          </w:p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6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Ясное сознание, живо реагирует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55,6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type="dxa" w:w="9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44,4</w:t>
            </w:r>
          </w:p>
        </w:tc>
        <w:tc>
          <w:tcPr>
            <w:tcW w:type="dxa" w:w="7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32,1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D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Оглушение и/или </w:t>
            </w:r>
            <w:r>
              <w:rPr>
                <w:color w:val="000000"/>
                <w:sz w:val="28"/>
              </w:rPr>
              <w:t>сомноленция</w:t>
            </w:r>
            <w:r>
              <w:rPr>
                <w:color w:val="000000"/>
                <w:sz w:val="28"/>
              </w:rPr>
              <w:t>; можно добиться ответов и выполнения инструкций при минимальной стимуляции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4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57,9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type="dxa" w:w="9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42,1</w:t>
            </w:r>
          </w:p>
        </w:tc>
        <w:tc>
          <w:tcPr>
            <w:tcW w:type="dxa" w:w="7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19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67,9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Уровень сознания 1b</w:t>
            </w:r>
          </w:p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5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Правильные ответы на оба вопроса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  <w:tc>
          <w:tcPr>
            <w:tcW w:type="dxa" w:w="7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42,9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C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Правильный ответ на один вопрос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62,5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5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37,5</w:t>
            </w:r>
          </w:p>
        </w:tc>
        <w:tc>
          <w:tcPr>
            <w:tcW w:type="dxa" w:w="7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57,1</w:t>
            </w:r>
            <w:bookmarkStart w:id="16" w:name="_Hlk195388286"/>
            <w:bookmarkEnd w:id="16"/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Уровень сознания 1с</w:t>
            </w:r>
          </w:p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4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Выполнил обе команды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61,5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38,5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46,4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B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Выполнил одну команду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53,3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6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46,7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53,6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Движение глазных яблок</w:t>
            </w:r>
          </w:p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3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Норма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53,8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46,2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46,4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A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Частичный парез взора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60,0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40,0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7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53,6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Поля зрения</w:t>
            </w:r>
          </w:p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2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Поля зрения не нарушены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62,5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37,5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57,1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9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Частичная гемианопсия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8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42,9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Функция лицевого нерва мимических мышц.</w:t>
            </w:r>
          </w:p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1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Нормальные симметричные движения мимических мышц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8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Лёгкий парез мимических мышц (сглажена носогубная складка, асимметричная улыбка)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64,3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35,7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9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Сила мышц верхней конечности</w:t>
            </w:r>
          </w:p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0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Верхняя конечность не опускается в течение 10 с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60,0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40,0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53,6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7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Верхняя конечность начинает опускаться до истечения 10 с, но не касается кровати или другой поверхности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53,8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46,2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46,4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Атаксия в конечностях</w:t>
            </w:r>
          </w:p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AF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Атаксии нет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42,9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57,1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6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Атаксия в одной конечности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71,4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28,6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C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50,0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Чувствительность</w:t>
            </w:r>
          </w:p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E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Норма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B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60,0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40,0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35,7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sz="4" w:val="nil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5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Лёгкая или умеренная </w:t>
            </w:r>
            <w:r>
              <w:rPr>
                <w:color w:val="000000"/>
                <w:sz w:val="28"/>
              </w:rPr>
              <w:t>гемигипестезия</w:t>
            </w:r>
            <w:r>
              <w:rPr>
                <w:color w:val="000000"/>
                <w:sz w:val="28"/>
              </w:rPr>
              <w:t>; на поражённой стороне пациент ощущает уколы как менее острые или как прикосновения</w:t>
            </w:r>
          </w:p>
        </w:tc>
        <w:tc>
          <w:tcPr>
            <w:tcW w:type="dxa" w:w="81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type="dxa" w:w="798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55,6</w:t>
            </w:r>
          </w:p>
        </w:tc>
        <w:tc>
          <w:tcPr>
            <w:tcW w:type="dxa" w:w="700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type="dxa" w:w="971"/>
            <w:gridSpan w:val="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44,4</w:t>
            </w:r>
          </w:p>
        </w:tc>
        <w:tc>
          <w:tcPr>
            <w:tcW w:type="dxa" w:w="751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18</w:t>
            </w:r>
          </w:p>
        </w:tc>
        <w:tc>
          <w:tcPr>
            <w:tcW w:type="dxa" w:w="792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B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64,3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Речь</w:t>
            </w:r>
          </w:p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D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Норма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C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60,0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type="dxa" w:w="9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40,0</w:t>
            </w:r>
          </w:p>
        </w:tc>
        <w:tc>
          <w:tcPr>
            <w:tcW w:type="dxa" w:w="7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3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35,7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4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Лёгкая или умеренная афазия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55,6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type="dxa" w:w="9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44,4</w:t>
            </w:r>
          </w:p>
        </w:tc>
        <w:tc>
          <w:tcPr>
            <w:tcW w:type="dxa" w:w="7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18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A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64,3</w:t>
            </w:r>
          </w:p>
        </w:tc>
      </w:tr>
      <w:tr>
        <w:trPr>
          <w:trHeight w:hRule="atLeast" w:val="454"/>
        </w:trPr>
        <w:tc>
          <w:tcPr>
            <w:tcW w:type="dxa" w:w="238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Игнорирование</w:t>
            </w:r>
          </w:p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C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Норма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D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E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33,3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DF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type="dxa" w:w="9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0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66,7</w:t>
            </w:r>
          </w:p>
        </w:tc>
        <w:tc>
          <w:tcPr>
            <w:tcW w:type="dxa" w:w="7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1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2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42,9</w:t>
            </w:r>
          </w:p>
        </w:tc>
      </w:tr>
      <w:tr>
        <w:trPr>
          <w:trHeight w:hRule="atLeast" w:val="454"/>
        </w:trPr>
        <w:tc>
          <w:tcPr>
            <w:tcW w:type="dxa" w:w="238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0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3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Выявлены признаки </w:t>
            </w:r>
            <w:r>
              <w:rPr>
                <w:color w:val="000000"/>
                <w:sz w:val="28"/>
              </w:rPr>
              <w:t>гемиигнорирования</w:t>
            </w:r>
            <w:r>
              <w:rPr>
                <w:color w:val="000000"/>
                <w:sz w:val="28"/>
              </w:rPr>
              <w:t xml:space="preserve"> одного вида раздражителей (зрительных, сенсорных, слуховых)</w:t>
            </w:r>
          </w:p>
        </w:tc>
        <w:tc>
          <w:tcPr>
            <w:tcW w:type="dxa" w:w="81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4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</w:t>
            </w:r>
          </w:p>
        </w:tc>
        <w:tc>
          <w:tcPr>
            <w:tcW w:type="dxa" w:w="798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5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75,0</w:t>
            </w:r>
          </w:p>
        </w:tc>
        <w:tc>
          <w:tcPr>
            <w:tcW w:type="dxa" w:w="700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6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type="dxa" w:w="97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7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25,0</w:t>
            </w:r>
          </w:p>
        </w:tc>
        <w:tc>
          <w:tcPr>
            <w:tcW w:type="dxa" w:w="751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8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</w:t>
            </w:r>
          </w:p>
        </w:tc>
        <w:tc>
          <w:tcPr>
            <w:tcW w:type="dxa" w:w="79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vAlign w:val="center"/>
          </w:tcPr>
          <w:p w14:paraId="E9000000">
            <w:pPr>
              <w:widowControl w:val="1"/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57,1</w:t>
            </w:r>
          </w:p>
        </w:tc>
      </w:tr>
    </w:tbl>
    <w:p w14:paraId="EA000000">
      <w:pPr>
        <w:widowControl w:val="1"/>
        <w:spacing w:line="360" w:lineRule="auto"/>
        <w:ind w:firstLine="709"/>
        <w:jc w:val="both"/>
        <w:rPr>
          <w:sz w:val="28"/>
        </w:rPr>
      </w:pPr>
    </w:p>
    <w:p w14:paraId="EB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У</w:t>
      </w:r>
      <w:r>
        <w:rPr>
          <w:sz w:val="28"/>
        </w:rPr>
        <w:t xml:space="preserve">становлено, что по признаку «Уровень сознания 1а» у большинства пациентов (67,9%) отмечен сниженный уровень сознания, требующий минимальной стимуляции для получения ответа. </w:t>
      </w:r>
    </w:p>
    <w:p w14:paraId="EC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По признаку «Уровень сознания 1</w:t>
      </w:r>
      <w:r>
        <w:rPr>
          <w:sz w:val="28"/>
        </w:rPr>
        <w:t>b</w:t>
      </w:r>
      <w:r>
        <w:rPr>
          <w:sz w:val="28"/>
        </w:rPr>
        <w:t>» наблюдается гендерное различие в способности отвечать на вопросы – мужчины чаще демонстрируют частичное понимание (62,5% случаев с одним правильным ответом), в то время как женщины в равной степени представлены в группах с полным и частичным пониманием. Анализ показателей по признаку «Уровень сознания 1с» показал, что мужчины несколько лучше реагируют на команды (61,5% в группе, выполнившей обе команды). Полученные данные могут указывать на различия в скорости восстановления когнитивных функций и на особенности реагирования на стимуляцию у разных полов.</w:t>
      </w:r>
    </w:p>
    <w:p w14:paraId="ED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Частичный парез взора встречается чаще (53,6%), чем нормальное движение глаз (46,4%). Мужчины демонстрируют патологию (60,0% случаев пареза), женщины (40,0%). При сохранной подвижности глаз гендерное распределение почти равное (53,8% мужчин против 46,2% женщин). У большинства пациентов (57,1%) поля зрения не нарушены. При частичной гемианопсии гендерное распределение равное (50, 0% мужчин и женщин). </w:t>
      </w:r>
    </w:p>
    <w:p w14:paraId="EE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Анализ данных по признаку «Функция лицевого нерва мимических мышц» показал, что 50,0% пациентов имеют нормальную функцию лицевого нерва, тогда как у остальных 50,0% наблюдается лёгкий парез. </w:t>
      </w:r>
    </w:p>
    <w:p w14:paraId="EF00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Это может указывать на биполярное распределение – либо полную сохранность, либо начальные признаки поражения. </w:t>
      </w:r>
      <w:r>
        <w:rPr>
          <w:sz w:val="28"/>
        </w:rPr>
        <w:t>У м</w:t>
      </w:r>
      <w:r>
        <w:rPr>
          <w:sz w:val="28"/>
        </w:rPr>
        <w:t xml:space="preserve">ужчин чаще отмечен лёгкий парез (64,3% случаев) по сравнению с женщинами (35,7%). При нормальной функции нерва распределение в группах равное по 50,0% мужчин и женщин соответственно. Это может свидетельствовать о большей уязвимости мужчин к поражению лицевого нерва или о разной этиологии нарушений. </w:t>
      </w:r>
    </w:p>
    <w:p w14:paraId="F000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 xml:space="preserve">Оценка силы мышц верхних конечностей выявила, что 53,6% пациентов сохраняют мышечную силу, 46,4% имеют умеренное снижение силы, но сохраняют способность удерживать конечность без полного опускания. При сниженная сила отмечена у 53,8% мужчин и 46,2% женщин. </w:t>
      </w:r>
    </w:p>
    <w:p w14:paraId="F100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 xml:space="preserve">Атаксия одной конечности наблюдалась у 71,4% мужчин и 28,6% женщин. </w:t>
      </w:r>
      <w:r>
        <w:rPr>
          <w:sz w:val="28"/>
        </w:rPr>
        <w:t>Гемигипестезия</w:t>
      </w:r>
      <w:r>
        <w:rPr>
          <w:sz w:val="28"/>
        </w:rPr>
        <w:t xml:space="preserve"> встречалась чаще чем нормальная чувствительности у мужчин в 55,6% случаев у женщин в 44,4%. Признаки </w:t>
      </w:r>
      <w:r>
        <w:rPr>
          <w:sz w:val="28"/>
        </w:rPr>
        <w:t>гемиигнорирования</w:t>
      </w:r>
      <w:r>
        <w:rPr>
          <w:sz w:val="28"/>
        </w:rPr>
        <w:t xml:space="preserve"> одного вида раздражителей выявлены у 57,1% пациентов.</w:t>
      </w:r>
    </w:p>
    <w:p w14:paraId="F2000000">
      <w:pPr>
        <w:widowControl w:val="1"/>
        <w:spacing w:line="360" w:lineRule="auto"/>
        <w:ind w:firstLine="709"/>
        <w:jc w:val="both"/>
        <w:rPr>
          <w:sz w:val="28"/>
        </w:rPr>
      </w:pPr>
      <w:bookmarkStart w:id="17" w:name="_Hlk195997578"/>
      <w:r>
        <w:rPr>
          <w:sz w:val="28"/>
        </w:rPr>
        <w:t xml:space="preserve">Так установлено, что неудовлетворительная </w:t>
      </w:r>
      <w:bookmarkStart w:id="18" w:name="_Hlk195411134"/>
      <w:r>
        <w:rPr>
          <w:sz w:val="28"/>
        </w:rPr>
        <w:t xml:space="preserve">функциональность верхних конечностей </w:t>
      </w:r>
      <w:bookmarkEnd w:id="18"/>
      <w:r>
        <w:rPr>
          <w:sz w:val="28"/>
        </w:rPr>
        <w:t xml:space="preserve">отмечена у 12,5% мужчин и 16,7% женщин, </w:t>
      </w:r>
      <w:bookmarkStart w:id="19" w:name="_Hlk195411121"/>
      <w:r>
        <w:rPr>
          <w:sz w:val="28"/>
        </w:rPr>
        <w:t xml:space="preserve">удовлетворительная – у 37,5% мужчин и 50,0% </w:t>
      </w:r>
      <w:bookmarkEnd w:id="19"/>
      <w:r>
        <w:rPr>
          <w:sz w:val="28"/>
        </w:rPr>
        <w:t xml:space="preserve">женщин и хорошая у 50,0% мужчин и 33,3% женщин </w:t>
      </w:r>
      <w:bookmarkEnd w:id="17"/>
      <w:r>
        <w:rPr>
          <w:sz w:val="28"/>
        </w:rPr>
        <w:t>(рис</w:t>
      </w:r>
      <w:r>
        <w:rPr>
          <w:sz w:val="28"/>
        </w:rPr>
        <w:t>.</w:t>
      </w:r>
      <w:r>
        <w:rPr>
          <w:sz w:val="28"/>
        </w:rPr>
        <w:t xml:space="preserve"> 1).</w:t>
      </w:r>
    </w:p>
    <w:p w14:paraId="F3000000">
      <w:pPr>
        <w:widowControl w:val="1"/>
        <w:spacing w:line="360" w:lineRule="auto"/>
        <w:ind w:firstLine="709"/>
        <w:jc w:val="center"/>
        <w:rPr>
          <w:sz w:val="28"/>
        </w:rPr>
      </w:pPr>
      <w:r>
        <w:rPr>
          <w:sz w:val="28"/>
        </w:rP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40640</wp:posOffset>
            </wp:positionH>
            <wp:positionV relativeFrom="paragraph">
              <wp:posOffset>116204</wp:posOffset>
            </wp:positionV>
            <wp:extent cx="6455410" cy="3475990"/>
            <wp:effectExtent b="0" l="0" r="0" t="0"/>
            <wp:wrapNone/>
            <wp:docPr hidden="false" id="3" name="Picture 3"/>
            <a:graphic>
              <a:graphicData uri="http://schemas.openxmlformats.org/drawingml/2006/picture">
                <pic:pic>
                  <pic:nvPicPr>
                    <pic:cNvPr hidden="false" id="4" name="Picture 4"/>
                    <pic:cNvPicPr preferRelativeResize="true"/>
                  </pic:nvPicPr>
                  <pic:blipFill>
                    <a:blip r:embed="rId2"/>
                    <a:srcRect b="0" l="0" r="0" t="11836"/>
                    <a:stretch/>
                  </pic:blipFill>
                  <pic:spPr>
                    <a:xfrm flipH="false" flipV="false" rot="0">
                      <a:ext cx="6455410" cy="3475990"/>
                    </a:xfrm>
                    <a:prstGeom prst="rect"/>
                  </pic:spPr>
                </pic:pic>
              </a:graphicData>
            </a:graphic>
          </wp:anchor>
        </w:drawing>
      </w:r>
    </w:p>
    <w:p w14:paraId="F4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5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6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7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8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9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A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B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C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D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E000000">
      <w:pPr>
        <w:widowControl w:val="1"/>
        <w:spacing w:line="360" w:lineRule="auto"/>
        <w:ind w:firstLine="709"/>
        <w:jc w:val="center"/>
        <w:rPr>
          <w:sz w:val="28"/>
        </w:rPr>
      </w:pPr>
    </w:p>
    <w:p w14:paraId="FF000000">
      <w:pPr>
        <w:widowControl w:val="1"/>
        <w:spacing w:line="360" w:lineRule="auto"/>
        <w:ind w:firstLine="709"/>
        <w:jc w:val="center"/>
        <w:rPr>
          <w:sz w:val="28"/>
        </w:rPr>
      </w:pPr>
      <w:r>
        <w:rPr>
          <w:sz w:val="28"/>
        </w:rPr>
        <w:t>Рис</w:t>
      </w:r>
      <w:r>
        <w:rPr>
          <w:sz w:val="28"/>
        </w:rPr>
        <w:t>.</w:t>
      </w:r>
      <w:r>
        <w:rPr>
          <w:sz w:val="28"/>
        </w:rPr>
        <w:t>1</w:t>
      </w:r>
      <w:r>
        <w:rPr>
          <w:sz w:val="28"/>
        </w:rPr>
        <w:t xml:space="preserve">. </w:t>
      </w:r>
      <w:r>
        <w:rPr>
          <w:sz w:val="28"/>
        </w:rPr>
        <w:t xml:space="preserve"> </w:t>
      </w:r>
      <w:bookmarkStart w:id="20" w:name="_Hlk210134738"/>
      <w:r>
        <w:rPr>
          <w:sz w:val="28"/>
        </w:rPr>
        <w:t>Оценка функций верхней конечности по опроснику DASH, %</w:t>
      </w:r>
      <w:bookmarkEnd w:id="20"/>
    </w:p>
    <w:p w14:paraId="00010000">
      <w:pPr>
        <w:widowControl w:val="1"/>
        <w:spacing w:line="360" w:lineRule="auto"/>
        <w:ind w:firstLine="709"/>
        <w:jc w:val="center"/>
        <w:rPr>
          <w:sz w:val="28"/>
        </w:rPr>
      </w:pPr>
      <w:r>
        <w:rPr>
          <w:sz w:val="28"/>
        </w:rPr>
        <w:t xml:space="preserve">Fig. 1. </w:t>
      </w:r>
      <w:bookmarkEnd w:id="4"/>
      <w:r>
        <w:rPr>
          <w:sz w:val="28"/>
        </w:rPr>
        <w:t>DASH questionnaire upper limb function score, %</w:t>
      </w:r>
    </w:p>
    <w:p w14:paraId="01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В ходе основного этапа эксперимента м</w:t>
      </w:r>
      <w:r>
        <w:rPr>
          <w:sz w:val="28"/>
        </w:rPr>
        <w:t>етодом простой рандомизации пациенты были распределены на две группы: контрольную группу (</w:t>
      </w:r>
      <w:r>
        <w:rPr>
          <w:sz w:val="28"/>
        </w:rPr>
        <w:t>далее-</w:t>
      </w:r>
      <w:r>
        <w:rPr>
          <w:sz w:val="28"/>
        </w:rPr>
        <w:t>КГ) и экспериментальную группу (</w:t>
      </w:r>
      <w:r>
        <w:rPr>
          <w:sz w:val="28"/>
        </w:rPr>
        <w:t>далее-</w:t>
      </w:r>
      <w:r>
        <w:rPr>
          <w:sz w:val="28"/>
        </w:rPr>
        <w:t xml:space="preserve">ЭГ). На протяжении 14 дней в группах применялись комплексы реабилитации. В КГ – процедуры массажа (15 минут), </w:t>
      </w:r>
      <w:r>
        <w:rPr>
          <w:sz w:val="28"/>
        </w:rPr>
        <w:t>лечебная физическая культура (далее-</w:t>
      </w:r>
      <w:r>
        <w:rPr>
          <w:sz w:val="28"/>
        </w:rPr>
        <w:t>ЛФК</w:t>
      </w:r>
      <w:r>
        <w:rPr>
          <w:sz w:val="28"/>
        </w:rPr>
        <w:t>)</w:t>
      </w:r>
      <w:r>
        <w:rPr>
          <w:sz w:val="28"/>
        </w:rPr>
        <w:t xml:space="preserve"> (45 минут), занятия на тренажёре «Капитан» (45 минут). В ЭГ пациенты получали процедуры массажа (15 минут), ЛФК (45 минут) и занятия на тренажёре «</w:t>
      </w:r>
      <w:r>
        <w:rPr>
          <w:sz w:val="28"/>
        </w:rPr>
        <w:t>ArmeoSpring</w:t>
      </w:r>
      <w:r>
        <w:rPr>
          <w:sz w:val="28"/>
        </w:rPr>
        <w:t>» (45 минут).</w:t>
      </w:r>
    </w:p>
    <w:p w14:paraId="02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В</w:t>
      </w:r>
      <w:r>
        <w:rPr>
          <w:sz w:val="28"/>
        </w:rPr>
        <w:t xml:space="preserve"> КГ и в ЭГ</w:t>
      </w:r>
      <w:r>
        <w:rPr>
          <w:sz w:val="28"/>
        </w:rPr>
        <w:t xml:space="preserve"> воздействию приёмов массажа были подвергнуты передняя и задняя поверхность плеча, предплечья и кисти пациентов. Использовалось преимущественно разминание в сочетании с поглаживанием, а затем лёгкое </w:t>
      </w:r>
      <w:r>
        <w:rPr>
          <w:sz w:val="28"/>
        </w:rPr>
        <w:t>поколачивание, способствующее восстановлению утраченного тонуса мышц. При наличии выраженных атрофических изменений в мышцах использовали щадящий массаж с постепенным возрастанием тонизирующих воздействий. Занятия ЛФК состояли из активно-пассивных, функциональных и идеомоторных упражнений.</w:t>
      </w:r>
      <w:r>
        <w:rPr>
          <w:sz w:val="28"/>
        </w:rPr>
        <w:t xml:space="preserve"> </w:t>
      </w:r>
      <w:r>
        <w:rPr>
          <w:sz w:val="28"/>
        </w:rPr>
        <w:t xml:space="preserve">Все пациенты могли сидеть самостоятельно или с опорой, что позволило им заниматься </w:t>
      </w:r>
      <w:r>
        <w:rPr>
          <w:sz w:val="28"/>
        </w:rPr>
        <w:t xml:space="preserve">как </w:t>
      </w:r>
      <w:r>
        <w:rPr>
          <w:sz w:val="28"/>
        </w:rPr>
        <w:t xml:space="preserve">на тренажёре </w:t>
      </w:r>
      <w:r>
        <w:rPr>
          <w:sz w:val="28"/>
        </w:rPr>
        <w:t>«Капитан»</w:t>
      </w:r>
      <w:r>
        <w:rPr>
          <w:sz w:val="28"/>
        </w:rPr>
        <w:t xml:space="preserve"> </w:t>
      </w:r>
      <w:r>
        <w:rPr>
          <w:sz w:val="28"/>
        </w:rPr>
        <w:t xml:space="preserve">так и </w:t>
      </w:r>
      <w:r>
        <w:rPr>
          <w:sz w:val="28"/>
        </w:rPr>
        <w:t>на комплексе «</w:t>
      </w:r>
      <w:r>
        <w:rPr>
          <w:sz w:val="28"/>
        </w:rPr>
        <w:t>ArmeoSpring</w:t>
      </w:r>
      <w:r>
        <w:rPr>
          <w:sz w:val="28"/>
        </w:rPr>
        <w:t xml:space="preserve">». </w:t>
      </w:r>
    </w:p>
    <w:p w14:paraId="03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Различия реабилитационных комплексов заключались в том, что в КГ занятия проводились на тренажёре «Капитан». Пациенты выполняли упражнения по «выкручивание и закручивание фигур» и проводили каждым пальцем кисти по всей длине прорези лабиринта в одну и другую сторону, а в ЭГ занятия проводились на комплексе «</w:t>
      </w:r>
      <w:r>
        <w:rPr>
          <w:sz w:val="28"/>
        </w:rPr>
        <w:t>ArmeoSpring</w:t>
      </w:r>
      <w:r>
        <w:rPr>
          <w:sz w:val="28"/>
        </w:rPr>
        <w:t>». Пациенты отрабатывали различные задачи реабилитации от увеличения диапазона движений, до отработки функций захвата</w:t>
      </w:r>
      <w:r>
        <w:rPr>
          <w:sz w:val="28"/>
        </w:rPr>
        <w:t xml:space="preserve">. Наиболее важной задачей лечения для данного пациента было увеличение диапазона движений верхней конечности причём как в одной, так и в 2 D и 3 </w:t>
      </w:r>
      <w:r>
        <w:rPr>
          <w:sz w:val="28"/>
        </w:rPr>
        <w:t>D</w:t>
      </w:r>
      <w:r>
        <w:rPr>
          <w:sz w:val="28"/>
        </w:rPr>
        <w:t xml:space="preserve"> плоскостях. Вторую позицию занимала задача по улучшению координации движений. Далее, когнитивная тренировка и меньше всего уделялось развитию функции захвата.</w:t>
      </w:r>
    </w:p>
    <w:p w14:paraId="04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Для улучшения объёма движений сгибателей/разгибателей плечевого сустава пациента, выбрана игра «Летун»</w:t>
      </w:r>
      <w:r>
        <w:rPr>
          <w:sz w:val="28"/>
        </w:rPr>
        <w:t xml:space="preserve">. </w:t>
      </w:r>
      <w:r>
        <w:rPr>
          <w:sz w:val="28"/>
        </w:rPr>
        <w:t xml:space="preserve">Сложность игры варьировалась. Так, в основном 62,1% задач в игре были лёгкими, 31,0% умеренными и 6,9% трудными. </w:t>
      </w:r>
      <w:r>
        <w:rPr>
          <w:sz w:val="28"/>
        </w:rPr>
        <w:t>Также использовалась игра «</w:t>
      </w:r>
      <w:r>
        <w:t>AIR HOCKEY»</w:t>
      </w:r>
      <w:r>
        <w:t xml:space="preserve">. </w:t>
      </w:r>
      <w:r>
        <w:rPr>
          <w:sz w:val="28"/>
        </w:rPr>
        <w:t>С помощью игры «Очистите океан» проводилась сравнительная оценка движений плечевого сустава во фронтальной плоскости</w:t>
      </w:r>
      <w:r>
        <w:rPr>
          <w:sz w:val="28"/>
        </w:rPr>
        <w:t>. В</w:t>
      </w:r>
      <w:r>
        <w:rPr>
          <w:sz w:val="28"/>
        </w:rPr>
        <w:t xml:space="preserve"> 64,3% случаев занятия по уровню сложности были лёгкими, в 35,7% - умеренными</w:t>
      </w:r>
      <w:r>
        <w:rPr>
          <w:sz w:val="28"/>
        </w:rPr>
        <w:t xml:space="preserve">. </w:t>
      </w:r>
      <w:r>
        <w:rPr>
          <w:sz w:val="28"/>
        </w:rPr>
        <w:t>Анализ динамики занятий пациента с нарушением функций верхних конечностей на комплексе «</w:t>
      </w:r>
      <w:r>
        <w:rPr>
          <w:sz w:val="28"/>
        </w:rPr>
        <w:t>ArmeoSpring</w:t>
      </w:r>
      <w:r>
        <w:rPr>
          <w:sz w:val="28"/>
        </w:rPr>
        <w:t>» показал, что по мере тренированности увеличивается уровень сложности и время выполнения упражнений, что положительно влияет на диапазон и координацию движений его верхних конечностей.</w:t>
      </w:r>
    </w:p>
    <w:p w14:paraId="05010000">
      <w:pPr>
        <w:widowControl w:val="1"/>
        <w:spacing w:line="360" w:lineRule="auto"/>
        <w:ind w:firstLine="567"/>
        <w:jc w:val="center"/>
        <w:rPr>
          <w:b w:val="1"/>
          <w:sz w:val="28"/>
        </w:rPr>
      </w:pPr>
      <w:r>
        <w:rPr>
          <w:b w:val="1"/>
          <w:sz w:val="28"/>
        </w:rPr>
        <w:t>Выводы</w:t>
      </w:r>
    </w:p>
    <w:p w14:paraId="06010000">
      <w:pPr>
        <w:widowControl w:val="1"/>
        <w:spacing w:line="360" w:lineRule="auto"/>
        <w:ind w:firstLine="709"/>
        <w:jc w:val="both"/>
        <w:rPr>
          <w:sz w:val="28"/>
          <w:highlight w:val="white"/>
        </w:rPr>
      </w:pPr>
      <w:r>
        <w:rPr>
          <w:sz w:val="28"/>
          <w:highlight w:val="white"/>
        </w:rPr>
        <w:t>1.</w:t>
      </w:r>
      <w:r>
        <w:rPr>
          <w:sz w:val="28"/>
          <w:highlight w:val="white"/>
        </w:rPr>
        <w:t xml:space="preserve">Понимание специалистом современных методов реабилитации при инсульте является ключевым фактором для достижения максимально возможного восстановления функций человека. Это подчеркивает важность непрерывного совершенствования реабилитационных технологий для улучшения исходов инсульта. </w:t>
      </w:r>
      <w:r>
        <w:rPr>
          <w:sz w:val="28"/>
          <w:highlight w:val="white"/>
        </w:rPr>
        <w:t xml:space="preserve">Дальнейшее развитие и внедрение инновационных подходов в клиническую практику является одной из ключевых задач современной реабилитации. </w:t>
      </w:r>
    </w:p>
    <w:p w14:paraId="07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  <w:highlight w:val="white"/>
        </w:rPr>
        <w:t xml:space="preserve">2. </w:t>
      </w:r>
      <w:r>
        <w:rPr>
          <w:sz w:val="28"/>
          <w:highlight w:val="white"/>
        </w:rPr>
        <w:t xml:space="preserve">В результате проведённого исследования установлено: </w:t>
      </w:r>
      <w:r>
        <w:rPr>
          <w:sz w:val="28"/>
        </w:rPr>
        <w:t xml:space="preserve">что в КГ различия в значениях до и после прохождения реабилитации были не </w:t>
      </w:r>
      <w:r>
        <w:rPr>
          <w:sz w:val="28"/>
        </w:rPr>
        <w:t>значительны</w:t>
      </w:r>
      <w:r>
        <w:rPr>
          <w:sz w:val="28"/>
        </w:rPr>
        <w:t xml:space="preserve"> в</w:t>
      </w:r>
      <w:r>
        <w:rPr>
          <w:sz w:val="28"/>
        </w:rPr>
        <w:t xml:space="preserve"> то время, как</w:t>
      </w:r>
      <w:r>
        <w:rPr>
          <w:sz w:val="28"/>
        </w:rPr>
        <w:t xml:space="preserve"> в ЭГ, где пациенты по мимо массажа и ЛФК занимались на комплексе «</w:t>
      </w:r>
      <w:r>
        <w:rPr>
          <w:sz w:val="28"/>
        </w:rPr>
        <w:t>ArmeoSpring</w:t>
      </w:r>
      <w:r>
        <w:rPr>
          <w:sz w:val="28"/>
        </w:rPr>
        <w:t>» значения угла лучезапястного сустава после реабилитации увеличились</w:t>
      </w:r>
      <w:r>
        <w:rPr>
          <w:sz w:val="28"/>
        </w:rPr>
        <w:t>:</w:t>
      </w:r>
    </w:p>
    <w:p w14:paraId="08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сгибание лучезапястного сустава пациентов ЭГ улучшилось на 20º, разгибание на 17º</w:t>
      </w:r>
      <w:r>
        <w:rPr>
          <w:sz w:val="28"/>
        </w:rPr>
        <w:t xml:space="preserve">, </w:t>
      </w:r>
      <w:r>
        <w:rPr>
          <w:sz w:val="28"/>
        </w:rPr>
        <w:t>у пациентов КГ значения углов до и после занятий варьировалось в пределах 1-2 º</w:t>
      </w:r>
      <w:r>
        <w:rPr>
          <w:sz w:val="28"/>
        </w:rPr>
        <w:t>,</w:t>
      </w:r>
    </w:p>
    <w:p w14:paraId="0901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 xml:space="preserve">сгибание в плечевом суставе </w:t>
      </w:r>
      <w:r>
        <w:rPr>
          <w:sz w:val="28"/>
        </w:rPr>
        <w:t>в ЭГ улучшилось на 10º, в разгибание на 12º</w:t>
      </w:r>
      <w:r>
        <w:rPr>
          <w:sz w:val="28"/>
        </w:rPr>
        <w:t xml:space="preserve">, в </w:t>
      </w:r>
      <w:r>
        <w:rPr>
          <w:sz w:val="28"/>
        </w:rPr>
        <w:t>то время как в КГ сгибание стало лучше лишь на 1º, а разгибание на 3º.</w:t>
      </w:r>
    </w:p>
    <w:p w14:paraId="0A010000">
      <w:pPr>
        <w:widowControl w:val="1"/>
        <w:spacing w:line="360" w:lineRule="auto"/>
        <w:ind w:firstLine="709"/>
        <w:contextualSpacing w:val="1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sz w:val="28"/>
        </w:rPr>
        <w:t xml:space="preserve">Оценка мышечного тонуса плечелучевой мышцы пациентов также показала улучшение в средних значениях как в КГ, так и в ЭГ, что указывает на положительную динамику. Наблюдалось улучшение мышечного тонуса плечелучевой мышцы пациентов при расслаблении в КГ на 3,5, а в ЭГ на 9,1 </w:t>
      </w:r>
      <w:r>
        <w:rPr>
          <w:sz w:val="28"/>
        </w:rPr>
        <w:t>миатонов</w:t>
      </w:r>
      <w:r>
        <w:rPr>
          <w:sz w:val="28"/>
        </w:rPr>
        <w:t>.</w:t>
      </w:r>
      <w:r>
        <w:rPr>
          <w:sz w:val="28"/>
        </w:rPr>
        <w:t xml:space="preserve"> То есть </w:t>
      </w:r>
      <w:r>
        <w:rPr>
          <w:sz w:val="28"/>
        </w:rPr>
        <w:t>метод, использованный в ЭГ, примерно в 2,6 раза эффективнее для нормализации мышечного тонуса плечелучевой мышцы при расслаблении, чем метод, применявшийся в КГ.</w:t>
      </w:r>
    </w:p>
    <w:p w14:paraId="0B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4. </w:t>
      </w:r>
      <w:r>
        <w:rPr>
          <w:sz w:val="28"/>
        </w:rPr>
        <w:t>Оценка сократительной способности плечелучевой мышцы пациентов также показала улучшение</w:t>
      </w:r>
      <w:r>
        <w:rPr>
          <w:sz w:val="28"/>
        </w:rPr>
        <w:t>.</w:t>
      </w:r>
      <w:r>
        <w:rPr>
          <w:sz w:val="28"/>
        </w:rPr>
        <w:t xml:space="preserve"> Так, в КГ сократительная способность плечелучевой мышцы пациентов снизилась с 21,7 </w:t>
      </w:r>
      <w:r>
        <w:rPr>
          <w:sz w:val="28"/>
        </w:rPr>
        <w:t>миатона</w:t>
      </w:r>
      <w:r>
        <w:rPr>
          <w:sz w:val="28"/>
        </w:rPr>
        <w:t xml:space="preserve"> до занятий до 18,5 </w:t>
      </w:r>
      <w:r>
        <w:rPr>
          <w:sz w:val="28"/>
        </w:rPr>
        <w:t>миатонов</w:t>
      </w:r>
      <w:r>
        <w:rPr>
          <w:sz w:val="28"/>
        </w:rPr>
        <w:t xml:space="preserve"> после. В тоже время в ЭГ эти значения равнялись 19,1 </w:t>
      </w:r>
      <w:r>
        <w:rPr>
          <w:sz w:val="28"/>
        </w:rPr>
        <w:t>миатону</w:t>
      </w:r>
      <w:r>
        <w:rPr>
          <w:sz w:val="28"/>
        </w:rPr>
        <w:t xml:space="preserve"> до начала занятий до 10,1 в конце.</w:t>
      </w:r>
      <w:r>
        <w:rPr>
          <w:sz w:val="28"/>
        </w:rPr>
        <w:t xml:space="preserve"> </w:t>
      </w:r>
      <w:r>
        <w:rPr>
          <w:sz w:val="28"/>
        </w:rPr>
        <w:t xml:space="preserve"> </w:t>
      </w:r>
      <w:bookmarkStart w:id="21" w:name="_Hlk196000038"/>
      <w:r>
        <w:rPr>
          <w:sz w:val="28"/>
        </w:rPr>
        <w:t xml:space="preserve">Таким образом, в ЭГ примерно в 3 раза </w:t>
      </w:r>
      <w:r>
        <w:rPr>
          <w:sz w:val="28"/>
        </w:rPr>
        <w:t xml:space="preserve">улучшилась </w:t>
      </w:r>
      <w:r>
        <w:rPr>
          <w:sz w:val="28"/>
        </w:rPr>
        <w:t>нормализаци</w:t>
      </w:r>
      <w:r>
        <w:rPr>
          <w:sz w:val="28"/>
        </w:rPr>
        <w:t>я</w:t>
      </w:r>
      <w:r>
        <w:rPr>
          <w:sz w:val="28"/>
        </w:rPr>
        <w:t xml:space="preserve"> мышечного тонуса плечелучевой мышцы по сравнению с КГ. </w:t>
      </w:r>
    </w:p>
    <w:p w14:paraId="0C010000">
      <w:pPr>
        <w:widowControl w:val="1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5. </w:t>
      </w:r>
      <w:r>
        <w:rPr>
          <w:sz w:val="28"/>
        </w:rPr>
        <w:t xml:space="preserve">Полученные результаты свидетельствуют, что </w:t>
      </w:r>
      <w:bookmarkStart w:id="22" w:name="_Hlk195999036"/>
      <w:r>
        <w:rPr>
          <w:sz w:val="28"/>
        </w:rPr>
        <w:t xml:space="preserve">физическая реабилитация пациентов с применением комплекса </w:t>
      </w:r>
      <w:bookmarkEnd w:id="22"/>
      <w:r>
        <w:rPr>
          <w:sz w:val="28"/>
        </w:rPr>
        <w:t>«</w:t>
      </w:r>
      <w:bookmarkStart w:id="23" w:name="_Hlk195999060"/>
      <w:r>
        <w:rPr>
          <w:sz w:val="28"/>
        </w:rPr>
        <w:t>Armeo</w:t>
      </w:r>
      <w:bookmarkEnd w:id="23"/>
      <w:r>
        <w:rPr>
          <w:sz w:val="28"/>
        </w:rPr>
        <w:t>Spring</w:t>
      </w:r>
      <w:r>
        <w:rPr>
          <w:sz w:val="28"/>
        </w:rPr>
        <w:t>» характеризуются более лучшими показателями пациентов, перенёсших инсульт по сравнению с реабилитацией, включающей занятия на тренажёре «Капитан».</w:t>
      </w:r>
      <w:r>
        <w:rPr>
          <w:sz w:val="28"/>
        </w:rPr>
        <w:t xml:space="preserve"> </w:t>
      </w:r>
      <w:r>
        <w:rPr>
          <w:sz w:val="28"/>
          <w:highlight w:val="white"/>
        </w:rPr>
        <w:t xml:space="preserve">Применение современного комплекса реабилитации с БОС, такого как </w:t>
      </w:r>
      <w:r>
        <w:rPr>
          <w:sz w:val="28"/>
          <w:highlight w:val="white"/>
        </w:rPr>
        <w:t>ArmeoSpring</w:t>
      </w:r>
      <w:r>
        <w:rPr>
          <w:sz w:val="28"/>
          <w:highlight w:val="white"/>
        </w:rPr>
        <w:t xml:space="preserve">, представляет собой перспективный подход к лечению осложнений ОНМК и повышению </w:t>
      </w:r>
      <w:r>
        <w:rPr>
          <w:sz w:val="28"/>
          <w:highlight w:val="white"/>
        </w:rPr>
        <w:t>эффективности восстановления после инсульта. Данные комплексы позволяют создавать индивидуальные программы реабилитации, обеспечивают биологическую обратную связь, мотивируют пациента и способствуют восстановлению двигательных функций.</w:t>
      </w:r>
    </w:p>
    <w:p w14:paraId="0D010000">
      <w:pPr>
        <w:widowControl w:val="1"/>
        <w:spacing w:line="360" w:lineRule="auto"/>
        <w:ind w:firstLine="567"/>
        <w:jc w:val="center"/>
        <w:rPr>
          <w:b w:val="1"/>
          <w:sz w:val="28"/>
        </w:rPr>
      </w:pPr>
      <w:r>
        <w:rPr>
          <w:b w:val="1"/>
          <w:sz w:val="28"/>
        </w:rPr>
        <w:t>Список источников</w:t>
      </w:r>
    </w:p>
    <w:p w14:paraId="0E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24" w:name="Маслова"/>
      <w:bookmarkStart w:id="25" w:name="_Ref191212045"/>
      <w:bookmarkStart w:id="26" w:name="_Hlk210134758"/>
      <w:bookmarkEnd w:id="21"/>
      <w:r>
        <w:rPr>
          <w:sz w:val="28"/>
        </w:rPr>
        <w:t>Маслова</w:t>
      </w:r>
      <w:bookmarkEnd w:id="24"/>
      <w:r>
        <w:rPr>
          <w:sz w:val="28"/>
        </w:rPr>
        <w:t xml:space="preserve"> Н., Агафонов К., Агафонова М., Раков А. Инсульт - мультидисциплинарная проблема // Врач. - 2017. - №9. - URL: </w:t>
      </w:r>
      <w:r>
        <w:rPr>
          <w:sz w:val="28"/>
        </w:rPr>
        <w:fldChar w:fldCharType="begin"/>
      </w:r>
      <w:r>
        <w:rPr>
          <w:sz w:val="28"/>
        </w:rPr>
        <w:instrText>HYPERLINK "https://cyberleninka.ru/article/n/insult-multidistsiplinarnaya-problema"</w:instrText>
      </w:r>
      <w:r>
        <w:rPr>
          <w:sz w:val="28"/>
        </w:rPr>
        <w:fldChar w:fldCharType="separate"/>
      </w:r>
      <w:r>
        <w:rPr>
          <w:sz w:val="28"/>
        </w:rPr>
        <w:t>https://cyberleninka.ru/article/n/insult-multidistsiplinarnaya-problema</w:t>
      </w:r>
      <w:r>
        <w:rPr>
          <w:sz w:val="28"/>
        </w:rPr>
        <w:fldChar w:fldCharType="end"/>
      </w:r>
      <w:r>
        <w:rPr>
          <w:sz w:val="28"/>
        </w:rPr>
        <w:t xml:space="preserve"> (дата обращения: 20.04.2024).</w:t>
      </w:r>
      <w:bookmarkEnd w:id="25"/>
    </w:p>
    <w:p w14:paraId="0F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27" w:name="Olczak"/>
      <w:r>
        <w:rPr>
          <w:sz w:val="28"/>
        </w:rPr>
        <w:t>Olczak</w:t>
      </w:r>
      <w:bookmarkEnd w:id="27"/>
      <w:r>
        <w:rPr>
          <w:sz w:val="28"/>
        </w:rPr>
        <w:t xml:space="preserve"> A.; </w:t>
      </w:r>
      <w:r>
        <w:rPr>
          <w:sz w:val="28"/>
        </w:rPr>
        <w:t>Truszczyńska-Baszak</w:t>
      </w:r>
      <w:r>
        <w:rPr>
          <w:sz w:val="28"/>
        </w:rPr>
        <w:t xml:space="preserve"> A.; </w:t>
      </w:r>
      <w:r>
        <w:rPr>
          <w:sz w:val="28"/>
        </w:rPr>
        <w:t>Stępień</w:t>
      </w:r>
      <w:r>
        <w:rPr>
          <w:sz w:val="28"/>
        </w:rPr>
        <w:t xml:space="preserve"> A. The Use of </w:t>
      </w:r>
      <w:r>
        <w:rPr>
          <w:sz w:val="28"/>
        </w:rPr>
        <w:t>Armeo®Spring</w:t>
      </w:r>
      <w:r>
        <w:rPr>
          <w:sz w:val="28"/>
        </w:rPr>
        <w:t xml:space="preserve"> Device to Assess the Effect of Trunk </w:t>
      </w:r>
      <w:r>
        <w:rPr>
          <w:sz w:val="28"/>
        </w:rPr>
        <w:t>Stabi-lization</w:t>
      </w:r>
      <w:r>
        <w:rPr>
          <w:sz w:val="28"/>
        </w:rPr>
        <w:t xml:space="preserve"> Exercises on the Functional Capabilities of the Upper Limb—An Observational Study of Patients after Stroke. Sensors 2022, 22, 4336. https://doi.org/10.3390/s22124336</w:t>
      </w:r>
    </w:p>
    <w:p w14:paraId="10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28" w:name="Ибрагимова"/>
      <w:r>
        <w:rPr>
          <w:sz w:val="28"/>
        </w:rPr>
        <w:t>Ибрагимова</w:t>
      </w:r>
      <w:bookmarkEnd w:id="28"/>
      <w:r>
        <w:rPr>
          <w:sz w:val="28"/>
        </w:rPr>
        <w:t xml:space="preserve"> Г.З., Сабирова А.Р., </w:t>
      </w:r>
      <w:r>
        <w:rPr>
          <w:sz w:val="28"/>
        </w:rPr>
        <w:t>Билалова</w:t>
      </w:r>
      <w:r>
        <w:rPr>
          <w:sz w:val="28"/>
        </w:rPr>
        <w:t xml:space="preserve"> Р.Р., </w:t>
      </w:r>
      <w:r>
        <w:rPr>
          <w:sz w:val="28"/>
        </w:rPr>
        <w:t>Ахтереев</w:t>
      </w:r>
      <w:r>
        <w:rPr>
          <w:sz w:val="28"/>
        </w:rPr>
        <w:t xml:space="preserve"> Р.Н. Факторы риска ишемического </w:t>
      </w:r>
      <w:r>
        <w:rPr>
          <w:sz w:val="28"/>
        </w:rPr>
        <w:t>кардиоэмболического</w:t>
      </w:r>
      <w:r>
        <w:rPr>
          <w:sz w:val="28"/>
        </w:rPr>
        <w:t xml:space="preserve"> инсульта // Вестник современной клинической медицины. - 2019. - №5. - </w:t>
      </w:r>
      <w:r>
        <w:rPr>
          <w:sz w:val="28"/>
        </w:rPr>
        <w:t>URL</w:t>
      </w:r>
      <w:r>
        <w:rPr>
          <w:sz w:val="28"/>
        </w:rPr>
        <w:t xml:space="preserve">: </w:t>
      </w:r>
      <w:r>
        <w:rPr>
          <w:sz w:val="28"/>
        </w:rPr>
        <w:fldChar w:fldCharType="begin"/>
      </w:r>
      <w:r>
        <w:rPr>
          <w:sz w:val="28"/>
        </w:rPr>
        <w:instrText>HYPERLINK "https://cyberleninka.ru/article/n/faktory-riska-ishemicheskogo-kardioembolicheskogo-insulta"</w:instrText>
      </w:r>
      <w:r>
        <w:rPr>
          <w:sz w:val="28"/>
        </w:rPr>
        <w:fldChar w:fldCharType="separate"/>
      </w:r>
      <w:r>
        <w:rPr>
          <w:sz w:val="28"/>
        </w:rPr>
        <w:t>https</w:t>
      </w:r>
      <w:r>
        <w:rPr>
          <w:sz w:val="28"/>
        </w:rPr>
        <w:t>://</w:t>
      </w:r>
      <w:r>
        <w:rPr>
          <w:sz w:val="28"/>
        </w:rPr>
        <w:t>cyberleninka</w:t>
      </w:r>
      <w:r>
        <w:rPr>
          <w:sz w:val="28"/>
        </w:rPr>
        <w:t>.</w:t>
      </w:r>
      <w:r>
        <w:rPr>
          <w:sz w:val="28"/>
        </w:rPr>
        <w:t>ru</w:t>
      </w:r>
      <w:r>
        <w:rPr>
          <w:sz w:val="28"/>
        </w:rPr>
        <w:t>/</w:t>
      </w:r>
      <w:r>
        <w:rPr>
          <w:sz w:val="28"/>
        </w:rPr>
        <w:t>article</w:t>
      </w:r>
      <w:r>
        <w:rPr>
          <w:sz w:val="28"/>
        </w:rPr>
        <w:t>/</w:t>
      </w:r>
      <w:r>
        <w:rPr>
          <w:sz w:val="28"/>
        </w:rPr>
        <w:t>n</w:t>
      </w:r>
      <w:r>
        <w:rPr>
          <w:sz w:val="28"/>
        </w:rPr>
        <w:t>/</w:t>
      </w:r>
      <w:r>
        <w:rPr>
          <w:sz w:val="28"/>
        </w:rPr>
        <w:t>faktory</w:t>
      </w:r>
      <w:r>
        <w:rPr>
          <w:sz w:val="28"/>
        </w:rPr>
        <w:t>-</w:t>
      </w:r>
      <w:r>
        <w:rPr>
          <w:sz w:val="28"/>
        </w:rPr>
        <w:t>riska</w:t>
      </w:r>
      <w:r>
        <w:rPr>
          <w:sz w:val="28"/>
        </w:rPr>
        <w:t>-</w:t>
      </w:r>
      <w:r>
        <w:rPr>
          <w:sz w:val="28"/>
        </w:rPr>
        <w:t>ishemicheskogo</w:t>
      </w:r>
      <w:r>
        <w:rPr>
          <w:sz w:val="28"/>
        </w:rPr>
        <w:t>-</w:t>
      </w:r>
      <w:r>
        <w:rPr>
          <w:sz w:val="28"/>
        </w:rPr>
        <w:t>kardioembolicheskogo</w:t>
      </w:r>
      <w:r>
        <w:rPr>
          <w:sz w:val="28"/>
        </w:rPr>
        <w:t>-</w:t>
      </w:r>
      <w:r>
        <w:rPr>
          <w:sz w:val="28"/>
        </w:rPr>
        <w:t>insulta</w:t>
      </w:r>
      <w:r>
        <w:rPr>
          <w:sz w:val="28"/>
        </w:rPr>
        <w:fldChar w:fldCharType="end"/>
      </w:r>
      <w:r>
        <w:rPr>
          <w:sz w:val="28"/>
        </w:rPr>
        <w:t xml:space="preserve"> (дата обращения: 31.03.2024).</w:t>
      </w:r>
    </w:p>
    <w:p w14:paraId="11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29" w:name="Stanton"/>
      <w:r>
        <w:rPr>
          <w:sz w:val="28"/>
        </w:rPr>
        <w:t>Stanton</w:t>
      </w:r>
      <w:bookmarkEnd w:id="29"/>
      <w:r>
        <w:rPr>
          <w:sz w:val="28"/>
        </w:rPr>
        <w:t xml:space="preserve"> R, Ada L, Dean CM, Preston E. Biofeedback improves performance in lower limb activities more than usual therapy in people following stroke: a systematic review. Journal of Physiotherapy. 2016;63(1):11–6. DOI: 10.1016/j.jphys.2016.11.006</w:t>
      </w:r>
    </w:p>
    <w:p w14:paraId="12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30" w:name="Кантур"/>
      <w:r>
        <w:rPr>
          <w:sz w:val="28"/>
        </w:rPr>
        <w:t>Кантур</w:t>
      </w:r>
      <w:bookmarkEnd w:id="30"/>
      <w:r>
        <w:rPr>
          <w:sz w:val="28"/>
        </w:rPr>
        <w:t xml:space="preserve"> Т.А. и др. Эффективность функциональной электростимуляции нижних конечностей у пациентов, перенесших инсульт //Тихоокеанский медицинский журнал. – 2024. – №. 4. – С. 21-25.</w:t>
      </w:r>
    </w:p>
    <w:p w14:paraId="13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31" w:name="Ясинская"/>
      <w:r>
        <w:rPr>
          <w:sz w:val="28"/>
        </w:rPr>
        <w:t>Ясинская</w:t>
      </w:r>
      <w:bookmarkEnd w:id="31"/>
      <w:r>
        <w:rPr>
          <w:sz w:val="28"/>
        </w:rPr>
        <w:t xml:space="preserve"> Я. К., Добрынина Л. А. Система биологической обратной связи KINECT DELPHI (ДВИРТА) в физической реабилитации при остром нарушении мозгового кровообращения //Лечебная физическая культура: достижения и перспективы развития: материалы VI Всероссийской научно-практической конференции с международным участием 1-2 июня 2017 г.//Под общей редакцией Т.В. Новиковой, О.В. Козыревой.–М.: </w:t>
      </w:r>
      <w:r>
        <w:rPr>
          <w:sz w:val="28"/>
        </w:rPr>
        <w:t>РГУФКСМиТ</w:t>
      </w:r>
      <w:r>
        <w:rPr>
          <w:sz w:val="28"/>
        </w:rPr>
        <w:t xml:space="preserve">, 2017.–222 с.: ИЛЛ. – 2017. – С. 212. </w:t>
      </w:r>
    </w:p>
    <w:p w14:paraId="14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32" w:name="Мачинский"/>
      <w:r>
        <w:rPr>
          <w:sz w:val="28"/>
        </w:rPr>
        <w:t>Мачинский</w:t>
      </w:r>
      <w:bookmarkEnd w:id="32"/>
      <w:r>
        <w:rPr>
          <w:sz w:val="28"/>
        </w:rPr>
        <w:t xml:space="preserve"> П.А., Плотникова Н.А., Ульянкин В.Е., </w:t>
      </w:r>
      <w:r>
        <w:rPr>
          <w:sz w:val="28"/>
        </w:rPr>
        <w:t>Кемайкин</w:t>
      </w:r>
      <w:r>
        <w:rPr>
          <w:sz w:val="28"/>
        </w:rPr>
        <w:t xml:space="preserve"> С.П., Рыбаков А. Г. Сравнительная характеристика показателей смертности и летальности от ишемического и геморрагического инсультов в России // Известия вузов. Поволжский регион. Медицинские науки. - 2019. - №3 (51). - </w:t>
      </w:r>
      <w:r>
        <w:rPr>
          <w:sz w:val="28"/>
        </w:rPr>
        <w:t>URL</w:t>
      </w:r>
      <w:r>
        <w:rPr>
          <w:sz w:val="28"/>
        </w:rPr>
        <w:t xml:space="preserve">: </w:t>
      </w:r>
      <w:r>
        <w:rPr>
          <w:sz w:val="28"/>
        </w:rPr>
        <w:fldChar w:fldCharType="begin"/>
      </w:r>
      <w:r>
        <w:rPr>
          <w:sz w:val="28"/>
        </w:rPr>
        <w:instrText>HYPERLINK "https://cyberleninka.ru/article/n/sravnitelnaya-harakteristika-pokazateley-smertnosti-i-letalnosti-ot-ishemicheskogo-i-gemorragicheskogo-insultov-v-rossii"</w:instrText>
      </w:r>
      <w:r>
        <w:rPr>
          <w:sz w:val="28"/>
        </w:rPr>
        <w:fldChar w:fldCharType="separate"/>
      </w:r>
      <w:r>
        <w:rPr>
          <w:sz w:val="28"/>
        </w:rPr>
        <w:t>https</w:t>
      </w:r>
      <w:r>
        <w:rPr>
          <w:sz w:val="28"/>
        </w:rPr>
        <w:t>://</w:t>
      </w:r>
      <w:r>
        <w:rPr>
          <w:sz w:val="28"/>
        </w:rPr>
        <w:t>cyberleninka</w:t>
      </w:r>
      <w:r>
        <w:rPr>
          <w:sz w:val="28"/>
        </w:rPr>
        <w:t>.</w:t>
      </w:r>
      <w:r>
        <w:rPr>
          <w:sz w:val="28"/>
        </w:rPr>
        <w:t>ru</w:t>
      </w:r>
      <w:r>
        <w:rPr>
          <w:sz w:val="28"/>
        </w:rPr>
        <w:t>/</w:t>
      </w:r>
      <w:r>
        <w:rPr>
          <w:sz w:val="28"/>
        </w:rPr>
        <w:t>article</w:t>
      </w:r>
      <w:r>
        <w:rPr>
          <w:sz w:val="28"/>
        </w:rPr>
        <w:t>/</w:t>
      </w:r>
      <w:r>
        <w:rPr>
          <w:sz w:val="28"/>
        </w:rPr>
        <w:t>n</w:t>
      </w:r>
      <w:r>
        <w:rPr>
          <w:sz w:val="28"/>
        </w:rPr>
        <w:t>/</w:t>
      </w:r>
      <w:r>
        <w:rPr>
          <w:sz w:val="28"/>
        </w:rPr>
        <w:t>sravnitelnaya</w:t>
      </w:r>
      <w:r>
        <w:rPr>
          <w:sz w:val="28"/>
        </w:rPr>
        <w:t>-</w:t>
      </w:r>
      <w:r>
        <w:rPr>
          <w:sz w:val="28"/>
        </w:rPr>
        <w:t>harakteristika</w:t>
      </w:r>
      <w:r>
        <w:rPr>
          <w:sz w:val="28"/>
        </w:rPr>
        <w:t>-</w:t>
      </w:r>
      <w:r>
        <w:rPr>
          <w:sz w:val="28"/>
        </w:rPr>
        <w:t>pokazateley</w:t>
      </w:r>
      <w:r>
        <w:rPr>
          <w:sz w:val="28"/>
        </w:rPr>
        <w:t>-</w:t>
      </w:r>
      <w:r>
        <w:rPr>
          <w:sz w:val="28"/>
        </w:rPr>
        <w:t>smertnosti</w:t>
      </w:r>
      <w:r>
        <w:rPr>
          <w:sz w:val="28"/>
        </w:rPr>
        <w:t>-</w:t>
      </w:r>
      <w:r>
        <w:rPr>
          <w:sz w:val="28"/>
        </w:rPr>
        <w:t>i</w:t>
      </w:r>
      <w:r>
        <w:rPr>
          <w:sz w:val="28"/>
        </w:rPr>
        <w:t>-</w:t>
      </w:r>
      <w:r>
        <w:rPr>
          <w:sz w:val="28"/>
        </w:rPr>
        <w:t>letalnosti</w:t>
      </w:r>
      <w:r>
        <w:rPr>
          <w:sz w:val="28"/>
        </w:rPr>
        <w:t>-</w:t>
      </w:r>
      <w:r>
        <w:rPr>
          <w:sz w:val="28"/>
        </w:rPr>
        <w:t>ot</w:t>
      </w:r>
      <w:r>
        <w:rPr>
          <w:sz w:val="28"/>
        </w:rPr>
        <w:t>-</w:t>
      </w:r>
      <w:r>
        <w:rPr>
          <w:sz w:val="28"/>
        </w:rPr>
        <w:t>ishemicheskogo</w:t>
      </w:r>
      <w:r>
        <w:rPr>
          <w:sz w:val="28"/>
        </w:rPr>
        <w:t>-</w:t>
      </w:r>
      <w:r>
        <w:rPr>
          <w:sz w:val="28"/>
        </w:rPr>
        <w:t>i</w:t>
      </w:r>
      <w:r>
        <w:rPr>
          <w:sz w:val="28"/>
        </w:rPr>
        <w:t>-</w:t>
      </w:r>
      <w:r>
        <w:rPr>
          <w:sz w:val="28"/>
        </w:rPr>
        <w:t>gemorragicheskogo</w:t>
      </w:r>
      <w:r>
        <w:rPr>
          <w:sz w:val="28"/>
        </w:rPr>
        <w:t>-</w:t>
      </w:r>
      <w:r>
        <w:rPr>
          <w:sz w:val="28"/>
        </w:rPr>
        <w:t>insultov</w:t>
      </w:r>
      <w:r>
        <w:rPr>
          <w:sz w:val="28"/>
        </w:rPr>
        <w:t>-</w:t>
      </w:r>
      <w:r>
        <w:rPr>
          <w:sz w:val="28"/>
        </w:rPr>
        <w:t>v</w:t>
      </w:r>
      <w:r>
        <w:rPr>
          <w:sz w:val="28"/>
        </w:rPr>
        <w:t>-</w:t>
      </w:r>
      <w:r>
        <w:rPr>
          <w:sz w:val="28"/>
        </w:rPr>
        <w:t>rossii</w:t>
      </w:r>
      <w:r>
        <w:rPr>
          <w:sz w:val="28"/>
        </w:rPr>
        <w:fldChar w:fldCharType="end"/>
      </w:r>
      <w:r>
        <w:rPr>
          <w:sz w:val="28"/>
        </w:rPr>
        <w:t xml:space="preserve"> (дата обращения: 20.04.2024).</w:t>
      </w:r>
    </w:p>
    <w:p w14:paraId="15010000">
      <w:pPr>
        <w:widowControl w:val="1"/>
        <w:numPr>
          <w:ilvl w:val="0"/>
          <w:numId w:val="1"/>
        </w:numPr>
        <w:tabs>
          <w:tab w:leader="none" w:pos="851" w:val="left"/>
        </w:tabs>
        <w:spacing w:line="360" w:lineRule="auto"/>
        <w:ind w:firstLine="567" w:left="0"/>
        <w:contextualSpacing w:val="1"/>
        <w:jc w:val="both"/>
        <w:rPr>
          <w:sz w:val="28"/>
        </w:rPr>
      </w:pPr>
      <w:bookmarkStart w:id="33" w:name="Левин"/>
      <w:bookmarkStart w:id="34" w:name="_Ref191212017"/>
      <w:r>
        <w:rPr>
          <w:sz w:val="28"/>
        </w:rPr>
        <w:t xml:space="preserve">Левин О.С. </w:t>
      </w:r>
      <w:bookmarkEnd w:id="33"/>
      <w:r>
        <w:rPr>
          <w:sz w:val="28"/>
        </w:rPr>
        <w:t>Постинсультные двигательные и когнитивные нарушения: клинические особенности и современные подходы к реабилитации / О. С. Левин, А. Н. Боголепова // Журнал неврологии и психиатрии им. C.C. Корсакова. – 2020. – Т. 120, № 11. – С. 99-107. – DOI 10.17116/jnevro202012011199.</w:t>
      </w:r>
      <w:bookmarkEnd w:id="34"/>
    </w:p>
    <w:p w14:paraId="16010000">
      <w:pPr>
        <w:widowControl w:val="1"/>
        <w:numPr>
          <w:ilvl w:val="0"/>
          <w:numId w:val="1"/>
        </w:numPr>
        <w:tabs>
          <w:tab w:leader="none" w:pos="851" w:val="left"/>
        </w:tabs>
        <w:spacing w:after="160" w:line="360" w:lineRule="auto"/>
        <w:ind w:firstLine="567" w:left="0"/>
        <w:contextualSpacing w:val="1"/>
        <w:jc w:val="both"/>
        <w:rPr>
          <w:sz w:val="28"/>
        </w:rPr>
      </w:pPr>
      <w:bookmarkStart w:id="35" w:name="ArmeoSpring"/>
      <w:r>
        <w:rPr>
          <w:sz w:val="28"/>
        </w:rPr>
        <w:t>ArmeoSpring</w:t>
      </w:r>
      <w:bookmarkEnd w:id="35"/>
      <w:r>
        <w:rPr>
          <w:sz w:val="28"/>
        </w:rPr>
        <w:t xml:space="preserve">. User Manual; </w:t>
      </w:r>
      <w:r>
        <w:rPr>
          <w:sz w:val="28"/>
        </w:rPr>
        <w:t>Hocoma</w:t>
      </w:r>
      <w:r>
        <w:rPr>
          <w:sz w:val="28"/>
        </w:rPr>
        <w:t xml:space="preserve">: </w:t>
      </w:r>
      <w:r>
        <w:rPr>
          <w:sz w:val="28"/>
        </w:rPr>
        <w:t>Volketswil</w:t>
      </w:r>
      <w:r>
        <w:rPr>
          <w:sz w:val="28"/>
        </w:rPr>
        <w:t>, Switzerland, 2009.</w:t>
      </w:r>
    </w:p>
    <w:p w14:paraId="17010000">
      <w:pPr>
        <w:widowControl w:val="1"/>
        <w:numPr>
          <w:ilvl w:val="0"/>
          <w:numId w:val="1"/>
        </w:numPr>
        <w:tabs>
          <w:tab w:leader="none" w:pos="851" w:val="left"/>
        </w:tabs>
        <w:spacing w:after="160" w:line="360" w:lineRule="auto"/>
        <w:ind w:firstLine="567" w:left="0"/>
        <w:contextualSpacing w:val="1"/>
        <w:jc w:val="both"/>
        <w:rPr>
          <w:sz w:val="28"/>
        </w:rPr>
      </w:pPr>
      <w:bookmarkStart w:id="36" w:name="Национальный"/>
      <w:bookmarkStart w:id="37" w:name="_Ref191221514"/>
      <w:r>
        <w:rPr>
          <w:sz w:val="28"/>
        </w:rPr>
        <w:t xml:space="preserve"> </w:t>
      </w:r>
      <w:r>
        <w:rPr>
          <w:sz w:val="28"/>
        </w:rPr>
        <w:t>Национальный</w:t>
      </w:r>
      <w:bookmarkEnd w:id="36"/>
      <w:r>
        <w:rPr>
          <w:sz w:val="28"/>
        </w:rPr>
        <w:t xml:space="preserve"> институт здравоохранения. Шкала инсульта. </w:t>
      </w:r>
      <w:r>
        <w:rPr>
          <w:rStyle w:val="Style_1_ch"/>
          <w:color w:val="000000"/>
          <w:sz w:val="28"/>
          <w:u w:val="none"/>
        </w:rPr>
        <w:fldChar w:fldCharType="begin"/>
      </w:r>
      <w:r>
        <w:rPr>
          <w:rStyle w:val="Style_1_ch"/>
          <w:color w:val="000000"/>
          <w:sz w:val="28"/>
          <w:u w:val="none"/>
        </w:rPr>
        <w:instrText>HYPERLINK "https://www.ninds.nih.gov/sites/default/files/documents/NIH-Stroke-cale_updatedFeb2024_508.pdf"</w:instrText>
      </w:r>
      <w:r>
        <w:rPr>
          <w:rStyle w:val="Style_1_ch"/>
          <w:color w:val="000000"/>
          <w:sz w:val="28"/>
          <w:u w:val="none"/>
        </w:rPr>
        <w:fldChar w:fldCharType="separate"/>
      </w:r>
      <w:r>
        <w:rPr>
          <w:rStyle w:val="Style_1_ch"/>
          <w:color w:val="000000"/>
          <w:sz w:val="28"/>
          <w:u w:val="none"/>
        </w:rPr>
        <w:t>https://www.ninds.nih.gov/sites/default/files/documents/NIH-Stroke-cale_updatedFeb2024_508.pdf</w:t>
      </w:r>
      <w:bookmarkEnd w:id="37"/>
      <w:r>
        <w:rPr>
          <w:rStyle w:val="Style_1_ch"/>
          <w:color w:val="000000"/>
          <w:sz w:val="28"/>
          <w:u w:val="none"/>
        </w:rPr>
        <w:fldChar w:fldCharType="end"/>
      </w:r>
    </w:p>
    <w:p w14:paraId="18010000">
      <w:pPr>
        <w:widowControl w:val="1"/>
        <w:numPr>
          <w:ilvl w:val="0"/>
          <w:numId w:val="1"/>
        </w:numPr>
        <w:tabs>
          <w:tab w:leader="none" w:pos="851" w:val="left"/>
        </w:tabs>
        <w:spacing w:after="160" w:line="360" w:lineRule="auto"/>
        <w:ind w:firstLine="567" w:left="0"/>
        <w:contextualSpacing w:val="1"/>
        <w:jc w:val="both"/>
        <w:rPr>
          <w:sz w:val="28"/>
        </w:rPr>
      </w:pPr>
      <w:bookmarkStart w:id="38" w:name="Hudak"/>
      <w:r>
        <w:rPr>
          <w:sz w:val="28"/>
        </w:rPr>
        <w:t xml:space="preserve"> </w:t>
      </w:r>
      <w:r>
        <w:rPr>
          <w:sz w:val="28"/>
        </w:rPr>
        <w:t>Hudak</w:t>
      </w:r>
      <w:bookmarkEnd w:id="38"/>
      <w:r>
        <w:rPr>
          <w:sz w:val="28"/>
        </w:rPr>
        <w:t xml:space="preserve"> PL, </w:t>
      </w:r>
      <w:r>
        <w:rPr>
          <w:sz w:val="28"/>
        </w:rPr>
        <w:t>Amadio</w:t>
      </w:r>
      <w:r>
        <w:rPr>
          <w:sz w:val="28"/>
        </w:rPr>
        <w:t xml:space="preserve"> PC, Bombardier C. Development of an upper extremity outcome measure: the DASH (disabilities of the arm, shoulder and hand) [corrected]. The Upper Extremity Collaborative Group (UECG). Am J Ind Med. 1996 Jun;29(6):602-8. </w:t>
      </w:r>
      <w:r>
        <w:rPr>
          <w:sz w:val="28"/>
        </w:rPr>
        <w:t>doi</w:t>
      </w:r>
      <w:r>
        <w:rPr>
          <w:sz w:val="28"/>
        </w:rPr>
        <w:t>: 10.1002/(SICI)1097-0274(199606)29:6&lt;</w:t>
      </w:r>
      <w:r>
        <w:rPr>
          <w:sz w:val="28"/>
        </w:rPr>
        <w:t>602:AID</w:t>
      </w:r>
      <w:r>
        <w:rPr>
          <w:sz w:val="28"/>
        </w:rPr>
        <w:t>-AJIM4&gt;3.0.CO;2-L. Erratum in: Am J Ind Med 1996 Sep;30(3):372.</w:t>
      </w:r>
    </w:p>
    <w:p w14:paraId="19010000">
      <w:pPr>
        <w:widowControl w:val="1"/>
        <w:numPr>
          <w:ilvl w:val="0"/>
          <w:numId w:val="1"/>
        </w:numPr>
        <w:tabs>
          <w:tab w:leader="none" w:pos="851" w:val="left"/>
        </w:tabs>
        <w:spacing w:after="160" w:line="360" w:lineRule="auto"/>
        <w:ind w:firstLine="567" w:left="0"/>
        <w:contextualSpacing w:val="1"/>
        <w:jc w:val="both"/>
        <w:rPr>
          <w:sz w:val="28"/>
        </w:rPr>
      </w:pPr>
      <w:bookmarkStart w:id="39" w:name="_Ref191210414"/>
      <w:r>
        <w:rPr>
          <w:sz w:val="28"/>
        </w:rPr>
        <w:t xml:space="preserve"> </w:t>
      </w:r>
      <w:r>
        <w:rPr>
          <w:sz w:val="28"/>
        </w:rPr>
        <w:t xml:space="preserve">Епифанов В. А. Реабилитация в неврологии / В. А. Епифанов, А. В. Епифанов. - </w:t>
      </w:r>
      <w:r>
        <w:rPr>
          <w:sz w:val="28"/>
        </w:rPr>
        <w:t>Москва :</w:t>
      </w:r>
      <w:r>
        <w:rPr>
          <w:sz w:val="28"/>
        </w:rPr>
        <w:t xml:space="preserve"> ГЭОТАР-Медиа, 2020. - 352 с. </w:t>
      </w:r>
      <w:bookmarkEnd w:id="39"/>
      <w:bookmarkEnd w:id="26"/>
    </w:p>
    <w:p w14:paraId="1A010000">
      <w:pPr>
        <w:pStyle w:val="Style_3"/>
        <w:widowControl w:val="1"/>
        <w:tabs>
          <w:tab w:leader="none" w:pos="851" w:val="left"/>
        </w:tabs>
        <w:spacing w:line="360" w:lineRule="auto"/>
        <w:ind w:firstLine="567" w:left="0"/>
        <w:jc w:val="center"/>
        <w:rPr>
          <w:b w:val="1"/>
          <w:sz w:val="28"/>
        </w:rPr>
      </w:pPr>
      <w:r>
        <w:rPr>
          <w:b w:val="1"/>
          <w:sz w:val="28"/>
        </w:rPr>
        <w:t>References</w:t>
      </w:r>
    </w:p>
    <w:p w14:paraId="1B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>Maslova N., Agafonov K., Agafonova M., Rakov A. Stroke - a multidisciplinary problem // Doctor. - 2017. - No. 9. - URL: https://cyberleninka.ru/article/n/insult-multidistsiplinarnaya-problema (access date: 04/20/2024).</w:t>
      </w:r>
    </w:p>
    <w:p w14:paraId="1C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Olczak A.; </w:t>
      </w:r>
      <w:r>
        <w:rPr>
          <w:sz w:val="28"/>
        </w:rPr>
        <w:t>Truszczyńska-Baszak</w:t>
      </w:r>
      <w:r>
        <w:rPr>
          <w:sz w:val="28"/>
        </w:rPr>
        <w:t xml:space="preserve"> A.; </w:t>
      </w:r>
      <w:r>
        <w:rPr>
          <w:sz w:val="28"/>
        </w:rPr>
        <w:t>Stępień</w:t>
      </w:r>
      <w:r>
        <w:rPr>
          <w:sz w:val="28"/>
        </w:rPr>
        <w:t xml:space="preserve"> A. The Use of </w:t>
      </w:r>
      <w:r>
        <w:rPr>
          <w:sz w:val="28"/>
        </w:rPr>
        <w:t>Armeo®Spring</w:t>
      </w:r>
      <w:r>
        <w:rPr>
          <w:sz w:val="28"/>
        </w:rPr>
        <w:t xml:space="preserve"> Device to Assess the Effect of Trunk </w:t>
      </w:r>
      <w:r>
        <w:rPr>
          <w:sz w:val="28"/>
        </w:rPr>
        <w:t>Stabi-lization</w:t>
      </w:r>
      <w:r>
        <w:rPr>
          <w:sz w:val="28"/>
        </w:rPr>
        <w:t xml:space="preserve"> Exercises on the Functional Capabilities of the Upper Limb—An Observational Study of Patients after Stroke. Sensors 2022, 22, 4336. https://doi.org/10.3390/s22124336</w:t>
      </w:r>
    </w:p>
    <w:p w14:paraId="1D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Ibragimova G.Z., Sabirova A.R., </w:t>
      </w:r>
      <w:r>
        <w:rPr>
          <w:sz w:val="28"/>
        </w:rPr>
        <w:t>Bilalova</w:t>
      </w:r>
      <w:r>
        <w:rPr>
          <w:sz w:val="28"/>
        </w:rPr>
        <w:t xml:space="preserve"> R.R., </w:t>
      </w:r>
      <w:r>
        <w:rPr>
          <w:sz w:val="28"/>
        </w:rPr>
        <w:t>Akhtereev</w:t>
      </w:r>
      <w:r>
        <w:rPr>
          <w:sz w:val="28"/>
        </w:rPr>
        <w:t xml:space="preserve"> R.N. Risk factors for ischemic cardioembolic stroke // Bulletin of modern clinical medicine. - 2019. - No. 5. - URL: https://cyberleninka.ru/article/n/faktory-riska-ishemicheskogo-kardioembolicheskogo-insulta (</w:t>
      </w:r>
      <w:r>
        <w:rPr>
          <w:sz w:val="28"/>
        </w:rPr>
        <w:t>дата</w:t>
      </w:r>
      <w:r>
        <w:rPr>
          <w:sz w:val="28"/>
        </w:rPr>
        <w:t xml:space="preserve"> </w:t>
      </w:r>
      <w:r>
        <w:rPr>
          <w:sz w:val="28"/>
        </w:rPr>
        <w:t>обращения</w:t>
      </w:r>
      <w:r>
        <w:rPr>
          <w:sz w:val="28"/>
        </w:rPr>
        <w:t>: 31.03.2024).</w:t>
      </w:r>
    </w:p>
    <w:p w14:paraId="1E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>Stanton R, Ada L, Dean CM, Preston E. Biofeedback improves performance in lower limb activities more than usual therapy in people following stroke: a systematic review. Journal of Physiotherapy. 2016;63(1):11–6. DOI: 10.1016/j.jphys.2016.11.006</w:t>
      </w:r>
    </w:p>
    <w:p w14:paraId="1F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Kantur T.A. et al. Efficiency of functional electrical stimulation of the lower extremities in patients who have suffered a stroke // Pacific Medical Journal. – 2024. – №. 4. – </w:t>
      </w:r>
      <w:r>
        <w:rPr>
          <w:sz w:val="28"/>
        </w:rPr>
        <w:t>С</w:t>
      </w:r>
      <w:r>
        <w:rPr>
          <w:sz w:val="28"/>
        </w:rPr>
        <w:t>. 21-2</w:t>
      </w:r>
    </w:p>
    <w:p w14:paraId="20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>Yasinskaya</w:t>
      </w:r>
      <w:r>
        <w:rPr>
          <w:sz w:val="28"/>
        </w:rPr>
        <w:t xml:space="preserve"> </w:t>
      </w:r>
      <w:r>
        <w:rPr>
          <w:sz w:val="28"/>
        </w:rPr>
        <w:t>Ya</w:t>
      </w:r>
      <w:r>
        <w:rPr>
          <w:sz w:val="28"/>
        </w:rPr>
        <w:t xml:space="preserve">. K., </w:t>
      </w:r>
      <w:r>
        <w:rPr>
          <w:sz w:val="28"/>
        </w:rPr>
        <w:t>Dobrynina</w:t>
      </w:r>
      <w:r>
        <w:rPr>
          <w:sz w:val="28"/>
        </w:rPr>
        <w:t xml:space="preserve"> L. A. KINECT DELPHI (DVIRTA) biofeedback system in physical rehabilitation for acute cerebrovascular accident // Therapeutic physical education: achievements and development prospects: materials of the VI All-Russian scientific and practical conference with international participation, June 1-2, 2017 // Edited by T. V. Novikova, O. V. Kozyreva. - </w:t>
      </w:r>
      <w:r>
        <w:rPr>
          <w:sz w:val="28"/>
        </w:rPr>
        <w:t>M .</w:t>
      </w:r>
      <w:r>
        <w:rPr>
          <w:sz w:val="28"/>
        </w:rPr>
        <w:t xml:space="preserve">: </w:t>
      </w:r>
      <w:r>
        <w:rPr>
          <w:sz w:val="28"/>
        </w:rPr>
        <w:t>RGUFKSMiT</w:t>
      </w:r>
      <w:r>
        <w:rPr>
          <w:sz w:val="28"/>
        </w:rPr>
        <w:t>, 2017. - 222 p.: ILL. - 2017. - P. 212.</w:t>
      </w:r>
    </w:p>
    <w:p w14:paraId="21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Machinsky P.A., </w:t>
      </w:r>
      <w:r>
        <w:rPr>
          <w:sz w:val="28"/>
        </w:rPr>
        <w:t>Plotnikova</w:t>
      </w:r>
      <w:r>
        <w:rPr>
          <w:sz w:val="28"/>
        </w:rPr>
        <w:t xml:space="preserve"> N.A., </w:t>
      </w:r>
      <w:r>
        <w:rPr>
          <w:sz w:val="28"/>
        </w:rPr>
        <w:t>Ulyankin</w:t>
      </w:r>
      <w:r>
        <w:rPr>
          <w:sz w:val="28"/>
        </w:rPr>
        <w:t xml:space="preserve"> V.E., </w:t>
      </w:r>
      <w:r>
        <w:rPr>
          <w:sz w:val="28"/>
        </w:rPr>
        <w:t>Kemaikin</w:t>
      </w:r>
      <w:r>
        <w:rPr>
          <w:sz w:val="28"/>
        </w:rPr>
        <w:t xml:space="preserve"> S.P., Rybakov A.G. Comparative characteristics of mortality and fatality rates from ischemic and hemorrhagic strokes in Russia // News of universities. Volga region. Medical sciences. 2019. - №3 (51). - URL: https://cyberleninka.ru/article/n/sravnitelnaya-harakteristika-pokazateley-smertnosti-i-letalnosti-ot-ishemicheskogo-i-gemorragicheskogo-insultov-v-rossii (</w:t>
      </w:r>
      <w:r>
        <w:rPr>
          <w:sz w:val="28"/>
        </w:rPr>
        <w:t>дата</w:t>
      </w:r>
      <w:r>
        <w:rPr>
          <w:sz w:val="28"/>
        </w:rPr>
        <w:t xml:space="preserve"> </w:t>
      </w:r>
      <w:r>
        <w:rPr>
          <w:sz w:val="28"/>
        </w:rPr>
        <w:t>обращения</w:t>
      </w:r>
      <w:r>
        <w:rPr>
          <w:sz w:val="28"/>
        </w:rPr>
        <w:t>: 20.04.2024).</w:t>
      </w:r>
    </w:p>
    <w:p w14:paraId="22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Levin O.S. Post-stroke motor and cognitive impairments: clinical features and modern approaches to rehabilitation / O. S. Levin, A. N. </w:t>
      </w:r>
      <w:r>
        <w:rPr>
          <w:sz w:val="28"/>
        </w:rPr>
        <w:t>Bogolepova</w:t>
      </w:r>
      <w:r>
        <w:rPr>
          <w:sz w:val="28"/>
        </w:rPr>
        <w:t xml:space="preserve"> // Journal of Neurology and Psychiatry named after S.S. Korsakov. – 2020. – </w:t>
      </w:r>
      <w:r>
        <w:rPr>
          <w:sz w:val="28"/>
        </w:rPr>
        <w:t>Т</w:t>
      </w:r>
      <w:r>
        <w:rPr>
          <w:sz w:val="28"/>
        </w:rPr>
        <w:t xml:space="preserve">. 120, № 11. – </w:t>
      </w:r>
      <w:r>
        <w:rPr>
          <w:sz w:val="28"/>
        </w:rPr>
        <w:t>С</w:t>
      </w:r>
      <w:r>
        <w:rPr>
          <w:sz w:val="28"/>
        </w:rPr>
        <w:t>. 99-107. – DOI 10.17116/jnevro202012011199.</w:t>
      </w:r>
    </w:p>
    <w:p w14:paraId="23010000">
      <w:pPr>
        <w:pStyle w:val="Style_3"/>
        <w:widowControl w:val="1"/>
        <w:numPr>
          <w:ilvl w:val="0"/>
          <w:numId w:val="2"/>
        </w:numPr>
        <w:tabs>
          <w:tab w:leader="none" w:pos="851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>ArmeoSpring</w:t>
      </w:r>
      <w:r>
        <w:rPr>
          <w:sz w:val="28"/>
        </w:rPr>
        <w:t xml:space="preserve">. User Manual; </w:t>
      </w:r>
      <w:r>
        <w:rPr>
          <w:sz w:val="28"/>
        </w:rPr>
        <w:t>Hocoma</w:t>
      </w:r>
      <w:r>
        <w:rPr>
          <w:sz w:val="28"/>
        </w:rPr>
        <w:t xml:space="preserve">: </w:t>
      </w:r>
      <w:r>
        <w:rPr>
          <w:sz w:val="28"/>
        </w:rPr>
        <w:t>Volketswil</w:t>
      </w:r>
      <w:r>
        <w:rPr>
          <w:sz w:val="28"/>
        </w:rPr>
        <w:t>, Switzerland, 2009.</w:t>
      </w:r>
    </w:p>
    <w:p w14:paraId="2401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>National Institutes of Health. Stroke Scale. https://www.ninds.nih.gov/sites/default/files/documents/NIH-Stroke-cale_updatedFeb2024_508.pdf</w:t>
      </w:r>
    </w:p>
    <w:p w14:paraId="2501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Hudak PL, Amadio PC, Bombardier C. Development of an upper extremity outcome measure: the DASH (disabilities of the arm, shoulder and hand) [corrected]. The Upper Extremity Collaborative Group (UECG). Am J Ind Med. 1996 Jun;29(6):602-8. </w:t>
      </w:r>
      <w:r>
        <w:rPr>
          <w:sz w:val="28"/>
        </w:rPr>
        <w:t>doi</w:t>
      </w:r>
      <w:r>
        <w:rPr>
          <w:sz w:val="28"/>
        </w:rPr>
        <w:t>: 10.1002/(SICI)1097-0274(199606)29:6&lt;</w:t>
      </w:r>
      <w:r>
        <w:rPr>
          <w:sz w:val="28"/>
        </w:rPr>
        <w:t>602:AID</w:t>
      </w:r>
      <w:r>
        <w:rPr>
          <w:sz w:val="28"/>
        </w:rPr>
        <w:t>-AJIM4&gt;3.0.CO;2-L. Erratum in: Am J Ind Med 1996 Sep;30(3):372.</w:t>
      </w:r>
    </w:p>
    <w:p w14:paraId="26010000">
      <w:pPr>
        <w:pStyle w:val="Style_3"/>
        <w:widowControl w:val="1"/>
        <w:numPr>
          <w:ilvl w:val="0"/>
          <w:numId w:val="2"/>
        </w:numPr>
        <w:tabs>
          <w:tab w:leader="none" w:pos="993" w:val="left"/>
        </w:tabs>
        <w:spacing w:line="360" w:lineRule="auto"/>
        <w:ind w:firstLine="567" w:left="0"/>
        <w:jc w:val="both"/>
        <w:rPr>
          <w:sz w:val="28"/>
        </w:rPr>
      </w:pPr>
      <w:r>
        <w:rPr>
          <w:sz w:val="28"/>
        </w:rPr>
        <w:t>Epifanov</w:t>
      </w:r>
      <w:r>
        <w:rPr>
          <w:sz w:val="28"/>
        </w:rPr>
        <w:t xml:space="preserve"> V. A. Rehabilitation in neurology / V. A. Epifanov, A. V. Epifanov. - Moscow: GEOTAR-Media, 2020. - 352 </w:t>
      </w:r>
      <w:r>
        <w:rPr>
          <w:sz w:val="28"/>
        </w:rPr>
        <w:t>с</w:t>
      </w:r>
      <w:r>
        <w:rPr>
          <w:sz w:val="28"/>
        </w:rPr>
        <w:t>.</w:t>
      </w:r>
    </w:p>
    <w:p w14:paraId="27010000">
      <w:pPr>
        <w:pStyle w:val="Style_3"/>
        <w:widowControl w:val="1"/>
        <w:spacing w:line="360" w:lineRule="auto"/>
        <w:ind w:left="786"/>
        <w:jc w:val="center"/>
        <w:rPr>
          <w:b w:val="1"/>
          <w:sz w:val="28"/>
        </w:rPr>
      </w:pPr>
      <w:r>
        <w:rPr>
          <w:b w:val="1"/>
          <w:sz w:val="28"/>
        </w:rPr>
        <w:t>Информация об авторах</w:t>
      </w:r>
    </w:p>
    <w:p w14:paraId="28010000">
      <w:pPr>
        <w:pStyle w:val="Style_3"/>
        <w:widowControl w:val="1"/>
        <w:spacing w:line="360" w:lineRule="auto"/>
        <w:ind w:left="0"/>
        <w:jc w:val="both"/>
        <w:rPr>
          <w:sz w:val="28"/>
        </w:rPr>
      </w:pPr>
      <w:r>
        <w:rPr>
          <w:sz w:val="28"/>
        </w:rPr>
        <w:t xml:space="preserve">Гайнуллина Ю.И., </w:t>
      </w:r>
      <w:r>
        <w:rPr>
          <w:sz w:val="28"/>
        </w:rPr>
        <w:t xml:space="preserve">доктор </w:t>
      </w:r>
      <w:r>
        <w:rPr>
          <w:sz w:val="28"/>
        </w:rPr>
        <w:t xml:space="preserve">медицинских </w:t>
      </w:r>
      <w:r>
        <w:rPr>
          <w:sz w:val="28"/>
        </w:rPr>
        <w:t xml:space="preserve">наук, профессор, Владивостокский государственный университет </w:t>
      </w:r>
    </w:p>
    <w:p w14:paraId="29010000">
      <w:pPr>
        <w:pStyle w:val="Style_3"/>
        <w:widowControl w:val="1"/>
        <w:spacing w:line="360" w:lineRule="auto"/>
        <w:ind w:left="0"/>
        <w:jc w:val="both"/>
        <w:rPr>
          <w:sz w:val="28"/>
        </w:rPr>
      </w:pPr>
      <w:r>
        <w:rPr>
          <w:sz w:val="28"/>
        </w:rPr>
        <w:t xml:space="preserve">Барабаш О.А., доцент, доктор педагогических наук, профессор, Владивостокский государственный университет </w:t>
      </w:r>
    </w:p>
    <w:p w14:paraId="2A010000">
      <w:pPr>
        <w:pStyle w:val="Style_3"/>
        <w:widowControl w:val="1"/>
        <w:spacing w:line="360" w:lineRule="auto"/>
        <w:ind w:left="0"/>
        <w:jc w:val="both"/>
        <w:rPr>
          <w:sz w:val="28"/>
        </w:rPr>
      </w:pPr>
      <w:r>
        <w:rPr>
          <w:sz w:val="28"/>
        </w:rPr>
        <w:t xml:space="preserve">Кожемяко А.Г., магистрант, </w:t>
      </w:r>
      <w:r>
        <w:rPr>
          <w:sz w:val="28"/>
        </w:rPr>
        <w:t>Владивостокский государственный университет</w:t>
      </w:r>
    </w:p>
    <w:p w14:paraId="2B010000">
      <w:pPr>
        <w:widowControl w:val="1"/>
        <w:spacing w:line="360" w:lineRule="auto"/>
        <w:ind/>
        <w:contextualSpacing w:val="1"/>
        <w:jc w:val="both"/>
        <w:rPr>
          <w:sz w:val="28"/>
        </w:rPr>
      </w:pPr>
    </w:p>
    <w:p w14:paraId="2C010000">
      <w:pPr>
        <w:widowControl w:val="1"/>
        <w:spacing w:line="360" w:lineRule="auto"/>
        <w:ind w:firstLine="709"/>
        <w:jc w:val="both"/>
        <w:rPr>
          <w:sz w:val="28"/>
        </w:rPr>
      </w:pPr>
    </w:p>
    <w:sectPr>
      <w:pgSz w:h="16838" w:orient="portrait" w:w="11906"/>
      <w:pgMar w:bottom="851" w:footer="709" w:gutter="0" w:header="709" w:left="851" w:right="851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1"/>
        <w:ind w:hanging="360" w:left="786"/>
      </w:pPr>
    </w:lvl>
    <w:lvl w:ilvl="1">
      <w:start w:val="1"/>
      <w:numFmt w:val="lowerLetter"/>
      <w:lvlText w:val="%2."/>
      <w:lvlJc w:val="left"/>
      <w:pPr>
        <w:widowControl w:val="1"/>
        <w:ind w:hanging="360" w:left="1506"/>
      </w:pPr>
    </w:lvl>
    <w:lvl w:ilvl="2">
      <w:start w:val="1"/>
      <w:numFmt w:val="lowerRoman"/>
      <w:lvlText w:val="%3."/>
      <w:lvlJc w:val="right"/>
      <w:pPr>
        <w:widowControl w:val="1"/>
        <w:ind w:hanging="180" w:left="2226"/>
      </w:pPr>
    </w:lvl>
    <w:lvl w:ilvl="3">
      <w:start w:val="1"/>
      <w:numFmt w:val="decimal"/>
      <w:lvlText w:val="%4."/>
      <w:lvlJc w:val="left"/>
      <w:pPr>
        <w:widowControl w:val="1"/>
        <w:ind w:hanging="360" w:left="2946"/>
      </w:pPr>
    </w:lvl>
    <w:lvl w:ilvl="4">
      <w:start w:val="1"/>
      <w:numFmt w:val="lowerLetter"/>
      <w:lvlText w:val="%5."/>
      <w:lvlJc w:val="left"/>
      <w:pPr>
        <w:widowControl w:val="1"/>
        <w:ind w:hanging="360" w:left="3666"/>
      </w:pPr>
    </w:lvl>
    <w:lvl w:ilvl="5">
      <w:start w:val="1"/>
      <w:numFmt w:val="lowerRoman"/>
      <w:lvlText w:val="%6."/>
      <w:lvlJc w:val="right"/>
      <w:pPr>
        <w:widowControl w:val="1"/>
        <w:ind w:hanging="180" w:left="4386"/>
      </w:pPr>
    </w:lvl>
    <w:lvl w:ilvl="6">
      <w:start w:val="1"/>
      <w:numFmt w:val="decimal"/>
      <w:lvlText w:val="%7."/>
      <w:lvlJc w:val="left"/>
      <w:pPr>
        <w:widowControl w:val="1"/>
        <w:ind w:hanging="360" w:left="5106"/>
      </w:pPr>
    </w:lvl>
    <w:lvl w:ilvl="7">
      <w:start w:val="1"/>
      <w:numFmt w:val="lowerLetter"/>
      <w:lvlText w:val="%8."/>
      <w:lvlJc w:val="left"/>
      <w:pPr>
        <w:widowControl w:val="1"/>
        <w:ind w:hanging="360" w:left="5826"/>
      </w:pPr>
    </w:lvl>
    <w:lvl w:ilvl="8">
      <w:start w:val="1"/>
      <w:numFmt w:val="lowerRoman"/>
      <w:lvlText w:val="%9."/>
      <w:lvlJc w:val="right"/>
      <w:pPr>
        <w:widowControl w:val="1"/>
        <w:ind w:hanging="180" w:left="6546"/>
      </w:pPr>
    </w:lvl>
  </w:abstractNum>
  <w:abstractNum w:abstractNumId="1">
    <w:lvl w:ilvl="0">
      <w:start w:val="1"/>
      <w:numFmt w:val="decimal"/>
      <w:lvlText w:val="%1."/>
      <w:lvlJc w:val="left"/>
      <w:pPr>
        <w:widowControl w:val="1"/>
        <w:ind w:hanging="360" w:left="786"/>
      </w:pPr>
    </w:lvl>
    <w:lvl w:ilvl="1">
      <w:start w:val="1"/>
      <w:numFmt w:val="lowerLetter"/>
      <w:lvlText w:val="%2."/>
      <w:lvlJc w:val="left"/>
      <w:pPr>
        <w:widowControl w:val="1"/>
        <w:ind w:hanging="360" w:left="2007"/>
      </w:pPr>
    </w:lvl>
    <w:lvl w:ilvl="2">
      <w:start w:val="1"/>
      <w:numFmt w:val="lowerRoman"/>
      <w:lvlText w:val="%3."/>
      <w:lvlJc w:val="right"/>
      <w:pPr>
        <w:widowControl w:val="1"/>
        <w:ind w:hanging="180" w:left="2727"/>
      </w:pPr>
    </w:lvl>
    <w:lvl w:ilvl="3">
      <w:start w:val="1"/>
      <w:numFmt w:val="decimal"/>
      <w:lvlText w:val="%4."/>
      <w:lvlJc w:val="left"/>
      <w:pPr>
        <w:widowControl w:val="1"/>
        <w:ind w:hanging="360" w:left="3447"/>
      </w:pPr>
    </w:lvl>
    <w:lvl w:ilvl="4">
      <w:start w:val="1"/>
      <w:numFmt w:val="lowerLetter"/>
      <w:lvlText w:val="%5."/>
      <w:lvlJc w:val="left"/>
      <w:pPr>
        <w:widowControl w:val="1"/>
        <w:ind w:hanging="360" w:left="4167"/>
      </w:pPr>
    </w:lvl>
    <w:lvl w:ilvl="5">
      <w:start w:val="1"/>
      <w:numFmt w:val="lowerRoman"/>
      <w:lvlText w:val="%6."/>
      <w:lvlJc w:val="right"/>
      <w:pPr>
        <w:widowControl w:val="1"/>
        <w:ind w:hanging="180" w:left="4887"/>
      </w:pPr>
    </w:lvl>
    <w:lvl w:ilvl="6">
      <w:start w:val="1"/>
      <w:numFmt w:val="decimal"/>
      <w:lvlText w:val="%7."/>
      <w:lvlJc w:val="left"/>
      <w:pPr>
        <w:widowControl w:val="1"/>
        <w:ind w:hanging="360" w:left="5607"/>
      </w:pPr>
    </w:lvl>
    <w:lvl w:ilvl="7">
      <w:start w:val="1"/>
      <w:numFmt w:val="lowerLetter"/>
      <w:lvlText w:val="%8."/>
      <w:lvlJc w:val="left"/>
      <w:pPr>
        <w:widowControl w:val="1"/>
        <w:ind w:hanging="360" w:left="6327"/>
      </w:pPr>
    </w:lvl>
    <w:lvl w:ilvl="8">
      <w:start w:val="1"/>
      <w:numFmt w:val="lowerRoman"/>
      <w:lvlText w:val="%9."/>
      <w:lvlJc w:val="right"/>
      <w:pPr>
        <w:widowControl w:val="1"/>
        <w:ind w:hanging="180" w:left="7047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widowControl w:val="1"/>
      <w:spacing w:after="0" w:line="240" w:lineRule="auto"/>
      <w:ind/>
    </w:pPr>
    <w:rPr>
      <w:rFonts w:ascii="Times New Roman" w:hAnsi="Times New Roman"/>
      <w:sz w:val="24"/>
    </w:rPr>
  </w:style>
  <w:style w:default="1" w:styleId="Style_4_ch" w:type="character">
    <w:name w:val="Normal"/>
    <w:link w:val="Style_4"/>
    <w:rPr>
      <w:rFonts w:ascii="Times New Roman" w:hAnsi="Times New Roman"/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heading 7"/>
    <w:basedOn w:val="Style_4"/>
    <w:next w:val="Style_4"/>
    <w:link w:val="Style_7_ch"/>
    <w:uiPriority w:val="9"/>
    <w:qFormat/>
    <w:pPr>
      <w:keepNext w:val="1"/>
      <w:keepLines w:val="1"/>
      <w:widowControl w:val="1"/>
      <w:spacing w:before="40"/>
      <w:ind/>
      <w:outlineLvl w:val="6"/>
    </w:pPr>
    <w:rPr>
      <w:rFonts w:asciiTheme="minorAscii" w:hAnsiTheme="minorHAnsi"/>
      <w:color w:themeColor="text1" w:themeTint="A6" w:val="595959"/>
    </w:rPr>
  </w:style>
  <w:style w:styleId="Style_7_ch" w:type="character">
    <w:name w:val="heading 7"/>
    <w:basedOn w:val="Style_4_ch"/>
    <w:link w:val="Style_7"/>
    <w:rPr>
      <w:rFonts w:asciiTheme="minorAscii" w:hAnsiTheme="minorHAnsi"/>
      <w:color w:themeColor="text1" w:themeTint="A6" w:val="595959"/>
    </w:rPr>
  </w:style>
  <w:style w:styleId="Style_8" w:type="paragraph">
    <w:name w:val="toc 6"/>
    <w:next w:val="Style_4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4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Endnote"/>
    <w:link w:val="Style_10_ch"/>
    <w:pPr>
      <w:ind w:firstLine="851" w:left="0"/>
      <w:jc w:val="both"/>
    </w:pPr>
    <w:rPr>
      <w:rFonts w:ascii="XO Thames" w:hAnsi="XO Thames"/>
      <w:sz w:val="22"/>
    </w:rPr>
  </w:style>
  <w:style w:styleId="Style_10_ch" w:type="character">
    <w:name w:val="Endnote"/>
    <w:link w:val="Style_10"/>
    <w:rPr>
      <w:rFonts w:ascii="XO Thames" w:hAnsi="XO Thames"/>
      <w:sz w:val="22"/>
    </w:rPr>
  </w:style>
  <w:style w:styleId="Style_11" w:type="paragraph">
    <w:name w:val="heading 3"/>
    <w:basedOn w:val="Style_4"/>
    <w:next w:val="Style_4"/>
    <w:link w:val="Style_11_ch"/>
    <w:uiPriority w:val="9"/>
    <w:qFormat/>
    <w:pPr>
      <w:keepNext w:val="1"/>
      <w:keepLines w:val="1"/>
      <w:widowControl w:val="1"/>
      <w:spacing w:after="80" w:before="160"/>
      <w:ind/>
      <w:outlineLvl w:val="2"/>
    </w:pPr>
    <w:rPr>
      <w:rFonts w:asciiTheme="minorAscii" w:hAnsiTheme="minorHAnsi"/>
      <w:color w:themeColor="accent1" w:themeShade="BF" w:val="2F5496"/>
    </w:rPr>
  </w:style>
  <w:style w:styleId="Style_11_ch" w:type="character">
    <w:name w:val="heading 3"/>
    <w:basedOn w:val="Style_4_ch"/>
    <w:link w:val="Style_11"/>
    <w:rPr>
      <w:rFonts w:asciiTheme="minorAscii" w:hAnsiTheme="minorHAnsi"/>
      <w:color w:themeColor="accent1" w:themeShade="BF" w:val="2F5496"/>
    </w:rPr>
  </w:style>
  <w:style w:styleId="Style_12" w:type="paragraph">
    <w:name w:val="Strong"/>
    <w:link w:val="Style_12_ch"/>
    <w:rPr>
      <w:b w:val="1"/>
    </w:rPr>
  </w:style>
  <w:style w:styleId="Style_12_ch" w:type="character">
    <w:name w:val="Strong"/>
    <w:link w:val="Style_12"/>
    <w:rPr>
      <w:b w:val="1"/>
    </w:rPr>
  </w:style>
  <w:style w:styleId="Style_13" w:type="paragraph">
    <w:name w:val="Quote"/>
    <w:basedOn w:val="Style_4"/>
    <w:next w:val="Style_4"/>
    <w:link w:val="Style_13_ch"/>
    <w:pPr>
      <w:widowControl w:val="1"/>
      <w:spacing w:before="160"/>
      <w:ind/>
      <w:jc w:val="center"/>
    </w:pPr>
    <w:rPr>
      <w:i w:val="1"/>
      <w:color w:themeColor="text1" w:themeTint="BF" w:val="404040"/>
    </w:rPr>
  </w:style>
  <w:style w:styleId="Style_13_ch" w:type="character">
    <w:name w:val="Quote"/>
    <w:basedOn w:val="Style_4_ch"/>
    <w:link w:val="Style_13"/>
    <w:rPr>
      <w:i w:val="1"/>
      <w:color w:themeColor="text1" w:themeTint="BF" w:val="404040"/>
    </w:rPr>
  </w:style>
  <w:style w:styleId="Style_14" w:type="paragraph">
    <w:name w:val="heading 9"/>
    <w:basedOn w:val="Style_4"/>
    <w:next w:val="Style_4"/>
    <w:link w:val="Style_14_ch"/>
    <w:uiPriority w:val="9"/>
    <w:qFormat/>
    <w:pPr>
      <w:keepNext w:val="1"/>
      <w:keepLines w:val="1"/>
      <w:widowControl w:val="1"/>
      <w:ind/>
      <w:outlineLvl w:val="8"/>
    </w:pPr>
    <w:rPr>
      <w:rFonts w:asciiTheme="minorAscii" w:hAnsiTheme="minorHAnsi"/>
      <w:color w:themeColor="text1" w:themeTint="D8" w:val="272727"/>
    </w:rPr>
  </w:style>
  <w:style w:styleId="Style_14_ch" w:type="character">
    <w:name w:val="heading 9"/>
    <w:basedOn w:val="Style_4_ch"/>
    <w:link w:val="Style_14"/>
    <w:rPr>
      <w:rFonts w:asciiTheme="minorAscii" w:hAnsiTheme="minorHAnsi"/>
      <w:color w:themeColor="text1" w:themeTint="D8" w:val="272727"/>
    </w:rPr>
  </w:style>
  <w:style w:styleId="Style_15" w:type="paragraph">
    <w:name w:val="toc 3"/>
    <w:next w:val="Style_4"/>
    <w:link w:val="Style_15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5_ch" w:type="character">
    <w:name w:val="toc 3"/>
    <w:link w:val="Style_15"/>
    <w:rPr>
      <w:rFonts w:ascii="XO Thames" w:hAnsi="XO Thames"/>
      <w:sz w:val="28"/>
    </w:rPr>
  </w:style>
  <w:style w:styleId="Style_16" w:type="paragraph">
    <w:name w:val="Intense Emphasis"/>
    <w:basedOn w:val="Style_17"/>
    <w:link w:val="Style_16_ch"/>
    <w:rPr>
      <w:i w:val="1"/>
      <w:color w:themeColor="accent1" w:themeShade="BF" w:val="2F5496"/>
    </w:rPr>
  </w:style>
  <w:style w:styleId="Style_16_ch" w:type="character">
    <w:name w:val="Intense Emphasis"/>
    <w:basedOn w:val="Style_17_ch"/>
    <w:link w:val="Style_16"/>
    <w:rPr>
      <w:i w:val="1"/>
      <w:color w:themeColor="accent1" w:themeShade="BF" w:val="2F5496"/>
    </w:rPr>
  </w:style>
  <w:style w:styleId="Style_18" w:type="paragraph">
    <w:name w:val="heading 5"/>
    <w:basedOn w:val="Style_4"/>
    <w:next w:val="Style_4"/>
    <w:link w:val="Style_18_ch"/>
    <w:uiPriority w:val="9"/>
    <w:qFormat/>
    <w:pPr>
      <w:keepNext w:val="1"/>
      <w:keepLines w:val="1"/>
      <w:widowControl w:val="1"/>
      <w:spacing w:after="40" w:before="80"/>
      <w:ind/>
      <w:outlineLvl w:val="4"/>
    </w:pPr>
    <w:rPr>
      <w:rFonts w:asciiTheme="minorAscii" w:hAnsiTheme="minorHAnsi"/>
      <w:color w:themeColor="accent1" w:themeShade="BF" w:val="2F5496"/>
    </w:rPr>
  </w:style>
  <w:style w:styleId="Style_18_ch" w:type="character">
    <w:name w:val="heading 5"/>
    <w:basedOn w:val="Style_4_ch"/>
    <w:link w:val="Style_18"/>
    <w:rPr>
      <w:rFonts w:asciiTheme="minorAscii" w:hAnsiTheme="minorHAnsi"/>
      <w:color w:themeColor="accent1" w:themeShade="BF" w:val="2F5496"/>
    </w:rPr>
  </w:style>
  <w:style w:styleId="Style_19" w:type="paragraph">
    <w:name w:val="heading 1"/>
    <w:basedOn w:val="Style_4"/>
    <w:next w:val="Style_4"/>
    <w:link w:val="Style_19_ch"/>
    <w:uiPriority w:val="9"/>
    <w:qFormat/>
    <w:pPr>
      <w:keepNext w:val="1"/>
      <w:keepLines w:val="1"/>
      <w:widowControl w:val="1"/>
      <w:spacing w:after="80" w:before="360"/>
      <w:ind/>
      <w:outlineLvl w:val="0"/>
    </w:pPr>
    <w:rPr>
      <w:rFonts w:asciiTheme="majorAscii" w:hAnsiTheme="majorHAnsi"/>
      <w:color w:themeColor="accent1" w:themeShade="BF" w:val="2F5496"/>
      <w:sz w:val="40"/>
    </w:rPr>
  </w:style>
  <w:style w:styleId="Style_19_ch" w:type="character">
    <w:name w:val="heading 1"/>
    <w:basedOn w:val="Style_4_ch"/>
    <w:link w:val="Style_19"/>
    <w:rPr>
      <w:rFonts w:asciiTheme="majorAscii" w:hAnsiTheme="majorHAnsi"/>
      <w:color w:themeColor="accent1" w:themeShade="BF" w:val="2F5496"/>
      <w:sz w:val="40"/>
    </w:rPr>
  </w:style>
  <w:style w:styleId="Style_1" w:type="paragraph">
    <w:name w:val="Hyperlink"/>
    <w:basedOn w:val="Style_17"/>
    <w:link w:val="Style_1_ch"/>
    <w:rPr>
      <w:color w:themeColor="hyperlink" w:val="0563C1"/>
      <w:u w:val="single"/>
    </w:rPr>
  </w:style>
  <w:style w:styleId="Style_1_ch" w:type="character">
    <w:name w:val="Hyperlink"/>
    <w:basedOn w:val="Style_17_ch"/>
    <w:link w:val="Style_1"/>
    <w:rPr>
      <w:color w:themeColor="hyperlink" w:val="0563C1"/>
      <w:u w:val="single"/>
    </w:rPr>
  </w:style>
  <w:style w:styleId="Style_20" w:type="paragraph">
    <w:name w:val="Footnote"/>
    <w:link w:val="Style_20_ch"/>
    <w:pPr>
      <w:ind w:firstLine="851" w:left="0"/>
      <w:jc w:val="both"/>
    </w:pPr>
    <w:rPr>
      <w:rFonts w:ascii="XO Thames" w:hAnsi="XO Thames"/>
      <w:sz w:val="22"/>
    </w:rPr>
  </w:style>
  <w:style w:styleId="Style_20_ch" w:type="character">
    <w:name w:val="Footnote"/>
    <w:link w:val="Style_20"/>
    <w:rPr>
      <w:rFonts w:ascii="XO Thames" w:hAnsi="XO Thames"/>
      <w:sz w:val="22"/>
    </w:rPr>
  </w:style>
  <w:style w:styleId="Style_21" w:type="paragraph">
    <w:name w:val="heading 8"/>
    <w:basedOn w:val="Style_4"/>
    <w:next w:val="Style_4"/>
    <w:link w:val="Style_21_ch"/>
    <w:uiPriority w:val="9"/>
    <w:qFormat/>
    <w:pPr>
      <w:keepNext w:val="1"/>
      <w:keepLines w:val="1"/>
      <w:widowControl w:val="1"/>
      <w:ind/>
      <w:outlineLvl w:val="7"/>
    </w:pPr>
    <w:rPr>
      <w:rFonts w:asciiTheme="minorAscii" w:hAnsiTheme="minorHAnsi"/>
      <w:i w:val="1"/>
      <w:color w:themeColor="text1" w:themeTint="D8" w:val="272727"/>
    </w:rPr>
  </w:style>
  <w:style w:styleId="Style_21_ch" w:type="character">
    <w:name w:val="heading 8"/>
    <w:basedOn w:val="Style_4_ch"/>
    <w:link w:val="Style_21"/>
    <w:rPr>
      <w:rFonts w:asciiTheme="minorAscii" w:hAnsiTheme="minorHAnsi"/>
      <w:i w:val="1"/>
      <w:color w:themeColor="text1" w:themeTint="D8" w:val="272727"/>
    </w:rPr>
  </w:style>
  <w:style w:styleId="Style_22" w:type="paragraph">
    <w:name w:val="toc 1"/>
    <w:next w:val="Style_4"/>
    <w:link w:val="Style_2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2_ch" w:type="character">
    <w:name w:val="toc 1"/>
    <w:link w:val="Style_22"/>
    <w:rPr>
      <w:rFonts w:ascii="XO Thames" w:hAnsi="XO Thames"/>
      <w:b w:val="1"/>
      <w:sz w:val="28"/>
    </w:rPr>
  </w:style>
  <w:style w:styleId="Style_23" w:type="paragraph">
    <w:name w:val="Header and Footer"/>
    <w:link w:val="Style_23_ch"/>
    <w:pPr>
      <w:spacing w:line="240" w:lineRule="auto"/>
      <w:ind/>
      <w:jc w:val="both"/>
    </w:pPr>
    <w:rPr>
      <w:rFonts w:ascii="XO Thames" w:hAnsi="XO Thames"/>
      <w:sz w:val="28"/>
    </w:rPr>
  </w:style>
  <w:style w:styleId="Style_23_ch" w:type="character">
    <w:name w:val="Header and Footer"/>
    <w:link w:val="Style_23"/>
    <w:rPr>
      <w:rFonts w:ascii="XO Thames" w:hAnsi="XO Thames"/>
      <w:sz w:val="28"/>
    </w:rPr>
  </w:style>
  <w:style w:styleId="Style_24" w:type="paragraph">
    <w:name w:val="toc 9"/>
    <w:next w:val="Style_4"/>
    <w:link w:val="Style_2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4_ch" w:type="character">
    <w:name w:val="toc 9"/>
    <w:link w:val="Style_24"/>
    <w:rPr>
      <w:rFonts w:ascii="XO Thames" w:hAnsi="XO Thames"/>
      <w:sz w:val="28"/>
    </w:rPr>
  </w:style>
  <w:style w:styleId="Style_3" w:type="paragraph">
    <w:name w:val="List Paragraph"/>
    <w:basedOn w:val="Style_4"/>
    <w:link w:val="Style_3_ch"/>
    <w:pPr>
      <w:widowControl w:val="1"/>
      <w:ind w:left="720"/>
      <w:contextualSpacing w:val="1"/>
    </w:pPr>
  </w:style>
  <w:style w:styleId="Style_3_ch" w:type="character">
    <w:name w:val="List Paragraph"/>
    <w:basedOn w:val="Style_4_ch"/>
    <w:link w:val="Style_3"/>
  </w:style>
  <w:style w:styleId="Style_25" w:type="paragraph">
    <w:name w:val="toc 8"/>
    <w:next w:val="Style_4"/>
    <w:link w:val="Style_2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5_ch" w:type="character">
    <w:name w:val="toc 8"/>
    <w:link w:val="Style_25"/>
    <w:rPr>
      <w:rFonts w:ascii="XO Thames" w:hAnsi="XO Thames"/>
      <w:sz w:val="28"/>
    </w:rPr>
  </w:style>
  <w:style w:styleId="Style_26" w:type="paragraph">
    <w:name w:val="Unresolved Mention"/>
    <w:basedOn w:val="Style_17"/>
    <w:link w:val="Style_26_ch"/>
    <w:rPr>
      <w:color w:val="605E5C"/>
      <w:shd w:fill="E1DFDD" w:val="clear"/>
    </w:rPr>
  </w:style>
  <w:style w:styleId="Style_26_ch" w:type="character">
    <w:name w:val="Unresolved Mention"/>
    <w:basedOn w:val="Style_17_ch"/>
    <w:link w:val="Style_26"/>
    <w:rPr>
      <w:color w:val="605E5C"/>
      <w:shd w:fill="E1DFDD" w:val="clear"/>
    </w:rPr>
  </w:style>
  <w:style w:styleId="Style_27" w:type="paragraph">
    <w:name w:val="Intense Quote"/>
    <w:basedOn w:val="Style_4"/>
    <w:next w:val="Style_4"/>
    <w:link w:val="Style_27_ch"/>
    <w:pPr>
      <w:widowControl w:val="1"/>
      <w:pBdr>
        <w:top w:space="10" w:sz="4" w:themeColor="accent1" w:themeShade="BF" w:val="single"/>
        <w:bottom w:space="10" w:sz="4" w:themeColor="accent1" w:themeShade="BF" w:val="single"/>
      </w:pBdr>
      <w:spacing w:after="360" w:before="360"/>
      <w:ind w:left="864" w:right="864"/>
      <w:jc w:val="center"/>
    </w:pPr>
    <w:rPr>
      <w:i w:val="1"/>
      <w:color w:themeColor="accent1" w:themeShade="BF" w:val="2F5496"/>
    </w:rPr>
  </w:style>
  <w:style w:styleId="Style_27_ch" w:type="character">
    <w:name w:val="Intense Quote"/>
    <w:basedOn w:val="Style_4_ch"/>
    <w:link w:val="Style_27"/>
    <w:rPr>
      <w:i w:val="1"/>
      <w:color w:themeColor="accent1" w:themeShade="BF" w:val="2F5496"/>
    </w:rPr>
  </w:style>
  <w:style w:styleId="Style_28" w:type="paragraph">
    <w:name w:val="toc 5"/>
    <w:next w:val="Style_4"/>
    <w:link w:val="Style_2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8_ch" w:type="character">
    <w:name w:val="toc 5"/>
    <w:link w:val="Style_28"/>
    <w:rPr>
      <w:rFonts w:ascii="XO Thames" w:hAnsi="XO Thames"/>
      <w:sz w:val="28"/>
    </w:rPr>
  </w:style>
  <w:style w:styleId="Style_29" w:type="paragraph">
    <w:name w:val="Subtitle"/>
    <w:basedOn w:val="Style_4"/>
    <w:next w:val="Style_4"/>
    <w:link w:val="Style_29_ch"/>
    <w:uiPriority w:val="11"/>
    <w:qFormat/>
    <w:pPr>
      <w:numPr>
        <w:ilvl w:val="1"/>
      </w:numPr>
    </w:pPr>
    <w:rPr>
      <w:rFonts w:asciiTheme="minorAscii" w:hAnsiTheme="minorHAnsi"/>
      <w:color w:themeColor="text1" w:themeTint="A6" w:val="595959"/>
      <w:spacing w:val="15"/>
    </w:rPr>
  </w:style>
  <w:style w:styleId="Style_29_ch" w:type="character">
    <w:name w:val="Subtitle"/>
    <w:basedOn w:val="Style_4_ch"/>
    <w:link w:val="Style_29"/>
    <w:rPr>
      <w:rFonts w:asciiTheme="minorAscii" w:hAnsiTheme="minorHAnsi"/>
      <w:color w:themeColor="text1" w:themeTint="A6" w:val="595959"/>
      <w:spacing w:val="15"/>
    </w:rPr>
  </w:style>
  <w:style w:styleId="Style_30" w:type="paragraph">
    <w:name w:val="Intense Reference"/>
    <w:basedOn w:val="Style_17"/>
    <w:link w:val="Style_30_ch"/>
    <w:rPr>
      <w:b w:val="1"/>
      <w:smallCaps w:val="1"/>
      <w:color w:themeColor="accent1" w:themeShade="BF" w:val="2F5496"/>
      <w:spacing w:val="5"/>
    </w:rPr>
  </w:style>
  <w:style w:styleId="Style_30_ch" w:type="character">
    <w:name w:val="Intense Reference"/>
    <w:basedOn w:val="Style_17_ch"/>
    <w:link w:val="Style_30"/>
    <w:rPr>
      <w:b w:val="1"/>
      <w:smallCaps w:val="1"/>
      <w:color w:themeColor="accent1" w:themeShade="BF" w:val="2F5496"/>
      <w:spacing w:val="5"/>
    </w:rPr>
  </w:style>
  <w:style w:styleId="Style_31" w:type="paragraph">
    <w:name w:val="Title"/>
    <w:basedOn w:val="Style_4"/>
    <w:next w:val="Style_4"/>
    <w:link w:val="Style_31_ch"/>
    <w:uiPriority w:val="10"/>
    <w:qFormat/>
    <w:pPr>
      <w:widowControl w:val="1"/>
      <w:spacing w:after="80"/>
      <w:ind/>
      <w:contextualSpacing w:val="1"/>
    </w:pPr>
    <w:rPr>
      <w:rFonts w:asciiTheme="majorAscii" w:hAnsiTheme="majorHAnsi"/>
      <w:spacing w:val="-10"/>
      <w:sz w:val="56"/>
    </w:rPr>
  </w:style>
  <w:style w:styleId="Style_31_ch" w:type="character">
    <w:name w:val="Title"/>
    <w:basedOn w:val="Style_4_ch"/>
    <w:link w:val="Style_31"/>
    <w:rPr>
      <w:rFonts w:asciiTheme="majorAscii" w:hAnsiTheme="majorHAnsi"/>
      <w:spacing w:val="-10"/>
      <w:sz w:val="56"/>
    </w:rPr>
  </w:style>
  <w:style w:styleId="Style_32" w:type="paragraph">
    <w:name w:val="heading 4"/>
    <w:basedOn w:val="Style_4"/>
    <w:next w:val="Style_4"/>
    <w:link w:val="Style_32_ch"/>
    <w:uiPriority w:val="9"/>
    <w:qFormat/>
    <w:pPr>
      <w:keepNext w:val="1"/>
      <w:keepLines w:val="1"/>
      <w:widowControl w:val="1"/>
      <w:spacing w:after="40" w:before="80"/>
      <w:ind/>
      <w:outlineLvl w:val="3"/>
    </w:pPr>
    <w:rPr>
      <w:rFonts w:asciiTheme="minorAscii" w:hAnsiTheme="minorHAnsi"/>
      <w:i w:val="1"/>
      <w:color w:themeColor="accent1" w:themeShade="BF" w:val="2F5496"/>
    </w:rPr>
  </w:style>
  <w:style w:styleId="Style_32_ch" w:type="character">
    <w:name w:val="heading 4"/>
    <w:basedOn w:val="Style_4_ch"/>
    <w:link w:val="Style_32"/>
    <w:rPr>
      <w:rFonts w:asciiTheme="minorAscii" w:hAnsiTheme="minorHAnsi"/>
      <w:i w:val="1"/>
      <w:color w:themeColor="accent1" w:themeShade="BF" w:val="2F5496"/>
    </w:rPr>
  </w:style>
  <w:style w:styleId="Style_33" w:type="paragraph">
    <w:name w:val="heading 2"/>
    <w:basedOn w:val="Style_4"/>
    <w:next w:val="Style_4"/>
    <w:link w:val="Style_33_ch"/>
    <w:uiPriority w:val="9"/>
    <w:qFormat/>
    <w:pPr>
      <w:keepNext w:val="1"/>
      <w:keepLines w:val="1"/>
      <w:widowControl w:val="1"/>
      <w:spacing w:after="80" w:before="160"/>
      <w:ind/>
      <w:outlineLvl w:val="1"/>
    </w:pPr>
    <w:rPr>
      <w:rFonts w:asciiTheme="majorAscii" w:hAnsiTheme="majorHAnsi"/>
      <w:color w:themeColor="accent1" w:themeShade="BF" w:val="2F5496"/>
      <w:sz w:val="32"/>
    </w:rPr>
  </w:style>
  <w:style w:styleId="Style_33_ch" w:type="character">
    <w:name w:val="heading 2"/>
    <w:basedOn w:val="Style_4_ch"/>
    <w:link w:val="Style_33"/>
    <w:rPr>
      <w:rFonts w:asciiTheme="majorAscii" w:hAnsiTheme="majorHAnsi"/>
      <w:color w:themeColor="accent1" w:themeShade="BF" w:val="2F5496"/>
      <w:sz w:val="32"/>
    </w:rPr>
  </w:style>
  <w:style w:styleId="Style_17" w:type="paragraph">
    <w:name w:val="Default Paragraph Font"/>
    <w:link w:val="Style_17_ch"/>
  </w:style>
  <w:style w:styleId="Style_17_ch" w:type="character">
    <w:name w:val="Default Paragraph Font"/>
    <w:link w:val="Style_17"/>
  </w:style>
  <w:style w:styleId="Style_34" w:type="paragraph">
    <w:name w:val="heading 6"/>
    <w:basedOn w:val="Style_4"/>
    <w:next w:val="Style_4"/>
    <w:link w:val="Style_34_ch"/>
    <w:uiPriority w:val="9"/>
    <w:qFormat/>
    <w:pPr>
      <w:keepNext w:val="1"/>
      <w:keepLines w:val="1"/>
      <w:widowControl w:val="1"/>
      <w:spacing w:before="40"/>
      <w:ind/>
      <w:outlineLvl w:val="5"/>
    </w:pPr>
    <w:rPr>
      <w:rFonts w:asciiTheme="minorAscii" w:hAnsiTheme="minorHAnsi"/>
      <w:i w:val="1"/>
      <w:color w:themeColor="text1" w:themeTint="A6" w:val="595959"/>
    </w:rPr>
  </w:style>
  <w:style w:styleId="Style_34_ch" w:type="character">
    <w:name w:val="heading 6"/>
    <w:basedOn w:val="Style_4_ch"/>
    <w:link w:val="Style_34"/>
    <w:rPr>
      <w:rFonts w:asciiTheme="minorAscii" w:hAnsiTheme="minorHAnsi"/>
      <w:i w:val="1"/>
      <w:color w:themeColor="text1" w:themeTint="A6" w:val="595959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4" Target="settings.xml" Type="http://schemas.openxmlformats.org/officeDocument/2006/relationships/settings"/>
  <Relationship Id="rId1" Target="media/1.png" Type="http://schemas.openxmlformats.org/officeDocument/2006/relationships/image"/>
  <Relationship Id="rId8" Target="theme/theme1.xml" Type="http://schemas.openxmlformats.org/officeDocument/2006/relationships/theme"/>
  <Relationship Id="rId7" Target="webSettings.xml" Type="http://schemas.openxmlformats.org/officeDocument/2006/relationships/webSettings"/>
  <Relationship Id="rId5" Target="styles.xml" Type="http://schemas.openxmlformats.org/officeDocument/2006/relationships/style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9" Target="numbering.xml" Type="http://schemas.openxmlformats.org/officeDocument/2006/relationships/numbering"/>
  <Relationship Id="rId6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MyOffice-CoreFramework-Android/39-1403.1124.10324.1037.1@679e5ff1b4970ca5064828970bd80f08e8f6daeb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2025-09-30T10:01:00Z</dcterms:created>
  <dcterms:modified xsi:type="dcterms:W3CDTF">2025-09-30T10:01:00Z</dcterms:modified>
</cp:coreProperties>
</file>