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>Бухгалтерский учет модуль 1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651E99">
        <w:rPr>
          <w:rFonts w:ascii="Times New Roman" w:hAnsi="Times New Roman" w:cs="Times New Roman"/>
          <w:sz w:val="28"/>
          <w:szCs w:val="24"/>
        </w:rPr>
        <w:t>ЭКОНОМИКИ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556295" w:rsidRDefault="0055629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56295">
        <w:rPr>
          <w:rFonts w:ascii="Times New Roman" w:hAnsi="Times New Roman" w:cs="Times New Roman"/>
          <w:b/>
          <w:sz w:val="36"/>
          <w:szCs w:val="24"/>
        </w:rPr>
        <w:t>БУХГАЛТЕРСКИЙ УЧЕТ МОДУЛЬ 1</w:t>
      </w:r>
    </w:p>
    <w:p w:rsidR="003533D2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3D2">
        <w:rPr>
          <w:rFonts w:ascii="Times New Roman" w:hAnsi="Times New Roman" w:cs="Times New Roman"/>
          <w:sz w:val="28"/>
          <w:szCs w:val="24"/>
        </w:rPr>
        <w:t>38.03.01 Экономика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556295" w:rsidRDefault="00EE32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56295">
        <w:rPr>
          <w:rFonts w:ascii="Times New Roman" w:hAnsi="Times New Roman" w:cs="Times New Roman"/>
          <w:sz w:val="28"/>
          <w:szCs w:val="24"/>
        </w:rPr>
        <w:t xml:space="preserve"> </w:t>
      </w:r>
      <w:r w:rsidR="003533D2" w:rsidRPr="00556295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3533D2" w:rsidRPr="00556295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2051D9">
        <w:rPr>
          <w:rFonts w:ascii="Times New Roman" w:hAnsi="Times New Roman" w:cs="Times New Roman"/>
          <w:sz w:val="28"/>
          <w:szCs w:val="24"/>
        </w:rPr>
        <w:t>8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55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9C35EB" w:rsidRPr="009C35EB">
        <w:rPr>
          <w:rFonts w:ascii="Times New Roman" w:hAnsi="Times New Roman" w:cs="Times New Roman"/>
          <w:lang w:eastAsia="ar-SA"/>
        </w:rPr>
        <w:t>Бухгалтерский учет модуль 1</w:t>
      </w:r>
      <w:r w:rsidR="003533D2" w:rsidRPr="009C35EB">
        <w:rPr>
          <w:rFonts w:ascii="Times New Roman" w:hAnsi="Times New Roman" w:cs="Times New Roman"/>
          <w:lang w:eastAsia="ar-SA"/>
        </w:rPr>
        <w:t xml:space="preserve"> </w:t>
      </w:r>
      <w:r w:rsidRPr="009C35EB">
        <w:rPr>
          <w:rFonts w:ascii="Times New Roman" w:hAnsi="Times New Roman" w:cs="Times New Roman"/>
          <w:sz w:val="24"/>
        </w:rPr>
        <w:t xml:space="preserve">разработан в соответствии </w:t>
      </w:r>
      <w:r w:rsidR="00C47641" w:rsidRPr="009C35EB">
        <w:rPr>
          <w:rFonts w:ascii="Times New Roman" w:hAnsi="Times New Roman" w:cs="Times New Roman"/>
          <w:sz w:val="24"/>
        </w:rPr>
        <w:t xml:space="preserve">с </w:t>
      </w:r>
      <w:r w:rsidR="001A5777" w:rsidRPr="009C35EB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3533D2" w:rsidRPr="009C35EB">
        <w:rPr>
          <w:rFonts w:ascii="Times New Roman" w:hAnsi="Times New Roman" w:cs="Times New Roman"/>
        </w:rPr>
        <w:t>38.03.01 Экономика</w:t>
      </w:r>
      <w:r w:rsidR="003533D2" w:rsidRPr="009C35EB">
        <w:rPr>
          <w:rFonts w:ascii="Times New Roman" w:hAnsi="Times New Roman" w:cs="Times New Roman"/>
          <w:sz w:val="24"/>
        </w:rPr>
        <w:t xml:space="preserve"> </w:t>
      </w:r>
      <w:r w:rsidR="001A5777" w:rsidRPr="009C35EB">
        <w:rPr>
          <w:rFonts w:ascii="Times New Roman" w:hAnsi="Times New Roman" w:cs="Times New Roman"/>
          <w:sz w:val="24"/>
        </w:rPr>
        <w:t>и Порядком</w:t>
      </w:r>
      <w:r w:rsidR="001A5777" w:rsidRPr="00810354">
        <w:rPr>
          <w:rFonts w:ascii="Times New Roman" w:hAnsi="Times New Roman" w:cs="Times New Roman"/>
          <w:sz w:val="24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</w:t>
      </w:r>
      <w:r w:rsidR="002051D9">
        <w:rPr>
          <w:rFonts w:ascii="Times New Roman" w:hAnsi="Times New Roman" w:cs="Times New Roman"/>
          <w:sz w:val="24"/>
        </w:rPr>
        <w:t>05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2051D9">
        <w:rPr>
          <w:rFonts w:ascii="Times New Roman" w:hAnsi="Times New Roman" w:cs="Times New Roman"/>
          <w:sz w:val="24"/>
        </w:rPr>
        <w:t>апреля</w:t>
      </w:r>
      <w:r w:rsidR="001A5777" w:rsidRPr="00810354">
        <w:rPr>
          <w:rFonts w:ascii="Times New Roman" w:hAnsi="Times New Roman" w:cs="Times New Roman"/>
          <w:sz w:val="24"/>
        </w:rPr>
        <w:t xml:space="preserve"> 201</w:t>
      </w:r>
      <w:r w:rsidR="002051D9">
        <w:rPr>
          <w:rFonts w:ascii="Times New Roman" w:hAnsi="Times New Roman" w:cs="Times New Roman"/>
          <w:sz w:val="24"/>
        </w:rPr>
        <w:t>7</w:t>
      </w:r>
      <w:r w:rsidR="001A5777" w:rsidRPr="00810354">
        <w:rPr>
          <w:rFonts w:ascii="Times New Roman" w:hAnsi="Times New Roman" w:cs="Times New Roman"/>
          <w:sz w:val="24"/>
        </w:rPr>
        <w:t xml:space="preserve"> г. N </w:t>
      </w:r>
      <w:r w:rsidR="002051D9">
        <w:rPr>
          <w:rFonts w:ascii="Times New Roman" w:hAnsi="Times New Roman" w:cs="Times New Roman"/>
          <w:sz w:val="24"/>
        </w:rPr>
        <w:t>301</w:t>
      </w:r>
      <w:r w:rsidR="001A5777" w:rsidRPr="00810354">
        <w:rPr>
          <w:rFonts w:ascii="Times New Roman" w:hAnsi="Times New Roman" w:cs="Times New Roman"/>
          <w:sz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</w:t>
      </w:r>
      <w:r w:rsidR="008C779B">
        <w:rPr>
          <w:rFonts w:ascii="Times New Roman" w:hAnsi="Times New Roman" w:cs="Times New Roman"/>
          <w:sz w:val="24"/>
        </w:rPr>
        <w:t>тавители</w:t>
      </w:r>
      <w:r w:rsidRPr="00810354">
        <w:rPr>
          <w:rFonts w:ascii="Times New Roman" w:hAnsi="Times New Roman" w:cs="Times New Roman"/>
          <w:sz w:val="24"/>
        </w:rPr>
        <w:t>:</w:t>
      </w:r>
    </w:p>
    <w:p w:rsidR="003533D2" w:rsidRPr="003533D2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33D2">
        <w:rPr>
          <w:rFonts w:ascii="Times New Roman" w:hAnsi="Times New Roman" w:cs="Times New Roman"/>
          <w:sz w:val="24"/>
        </w:rPr>
        <w:t xml:space="preserve">Терентьева Т.В. д.э.н., </w:t>
      </w:r>
      <w:r w:rsidR="00556295">
        <w:rPr>
          <w:rFonts w:ascii="Times New Roman" w:hAnsi="Times New Roman" w:cs="Times New Roman"/>
          <w:sz w:val="24"/>
        </w:rPr>
        <w:t>профессор</w:t>
      </w:r>
    </w:p>
    <w:p w:rsidR="003533D2" w:rsidRPr="003533D2" w:rsidRDefault="00D40870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Малышева В.В., ст. преподаватель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95" w:rsidRPr="00810354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5F77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6677CE">
        <w:rPr>
          <w:rFonts w:ascii="Times New Roman" w:hAnsi="Times New Roman" w:cs="Times New Roman"/>
          <w:sz w:val="24"/>
        </w:rPr>
        <w:t xml:space="preserve">кафедры экономики </w:t>
      </w:r>
      <w:bookmarkStart w:id="0" w:name="_GoBack"/>
      <w:bookmarkEnd w:id="0"/>
      <w:r w:rsidR="00651E99">
        <w:rPr>
          <w:rFonts w:ascii="Times New Roman" w:hAnsi="Times New Roman" w:cs="Times New Roman"/>
          <w:sz w:val="24"/>
        </w:rPr>
        <w:t xml:space="preserve">от </w:t>
      </w:r>
      <w:r w:rsidR="002051D9">
        <w:rPr>
          <w:rFonts w:ascii="Times New Roman" w:hAnsi="Times New Roman" w:cs="Times New Roman"/>
          <w:sz w:val="24"/>
        </w:rPr>
        <w:t>10</w:t>
      </w:r>
      <w:r w:rsidR="00651E99">
        <w:rPr>
          <w:rFonts w:ascii="Times New Roman" w:hAnsi="Times New Roman" w:cs="Times New Roman"/>
          <w:sz w:val="24"/>
        </w:rPr>
        <w:t>.0</w:t>
      </w:r>
      <w:r w:rsidR="002051D9">
        <w:rPr>
          <w:rFonts w:ascii="Times New Roman" w:hAnsi="Times New Roman" w:cs="Times New Roman"/>
          <w:sz w:val="24"/>
        </w:rPr>
        <w:t>5</w:t>
      </w:r>
      <w:r w:rsidR="00651E99">
        <w:rPr>
          <w:rFonts w:ascii="Times New Roman" w:hAnsi="Times New Roman" w:cs="Times New Roman"/>
          <w:sz w:val="24"/>
        </w:rPr>
        <w:t>.201</w:t>
      </w:r>
      <w:r w:rsidR="002051D9">
        <w:rPr>
          <w:rFonts w:ascii="Times New Roman" w:hAnsi="Times New Roman" w:cs="Times New Roman"/>
          <w:sz w:val="24"/>
        </w:rPr>
        <w:t>8</w:t>
      </w:r>
      <w:r w:rsidR="00651E99">
        <w:rPr>
          <w:rFonts w:ascii="Times New Roman" w:hAnsi="Times New Roman" w:cs="Times New Roman"/>
          <w:sz w:val="24"/>
        </w:rPr>
        <w:t>, протокол № 1</w:t>
      </w:r>
      <w:r w:rsidR="002051D9">
        <w:rPr>
          <w:rFonts w:ascii="Times New Roman" w:hAnsi="Times New Roman" w:cs="Times New Roman"/>
          <w:sz w:val="24"/>
        </w:rPr>
        <w:t>8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3533D2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3533D2" w:rsidRPr="00810354" w:rsidRDefault="002051D9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о. з</w:t>
      </w:r>
      <w:r w:rsidR="003533D2" w:rsidRPr="00810354">
        <w:rPr>
          <w:rFonts w:ascii="Times New Roman" w:hAnsi="Times New Roman" w:cs="Times New Roman"/>
          <w:sz w:val="24"/>
        </w:rPr>
        <w:t>аведующ</w:t>
      </w:r>
      <w:r>
        <w:rPr>
          <w:rFonts w:ascii="Times New Roman" w:hAnsi="Times New Roman" w:cs="Times New Roman"/>
          <w:sz w:val="24"/>
        </w:rPr>
        <w:t>его</w:t>
      </w:r>
      <w:r w:rsidR="003533D2" w:rsidRPr="00810354">
        <w:rPr>
          <w:rFonts w:ascii="Times New Roman" w:hAnsi="Times New Roman" w:cs="Times New Roman"/>
          <w:sz w:val="24"/>
        </w:rPr>
        <w:t xml:space="preserve"> кафедрой </w:t>
      </w:r>
      <w:r w:rsidR="00651E99">
        <w:rPr>
          <w:rFonts w:ascii="Times New Roman" w:hAnsi="Times New Roman" w:cs="Times New Roman"/>
          <w:sz w:val="24"/>
        </w:rPr>
        <w:t>экономики</w:t>
      </w:r>
      <w:r w:rsidR="003533D2" w:rsidRPr="00810354">
        <w:rPr>
          <w:rFonts w:ascii="Times New Roman" w:hAnsi="Times New Roman" w:cs="Times New Roman"/>
          <w:sz w:val="24"/>
        </w:rPr>
        <w:t xml:space="preserve"> _____________________   </w:t>
      </w:r>
      <w:proofErr w:type="spellStart"/>
      <w:r>
        <w:rPr>
          <w:rFonts w:ascii="Times New Roman" w:hAnsi="Times New Roman" w:cs="Times New Roman"/>
          <w:sz w:val="24"/>
        </w:rPr>
        <w:t>Варкулевич</w:t>
      </w:r>
      <w:proofErr w:type="spellEnd"/>
      <w:r>
        <w:rPr>
          <w:rFonts w:ascii="Times New Roman" w:hAnsi="Times New Roman" w:cs="Times New Roman"/>
          <w:sz w:val="24"/>
        </w:rPr>
        <w:t xml:space="preserve"> Т.В.</w:t>
      </w:r>
    </w:p>
    <w:p w:rsidR="003533D2" w:rsidRPr="00810354" w:rsidRDefault="003533D2" w:rsidP="003533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3533D2" w:rsidRPr="0081035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81035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556295" w:rsidRDefault="00556295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1 П</w:t>
      </w:r>
      <w:r w:rsidRPr="00556295">
        <w:rPr>
          <w:rFonts w:ascii="Arial" w:hAnsi="Arial" w:cs="Arial"/>
          <w:sz w:val="28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F4BA0">
        <w:tc>
          <w:tcPr>
            <w:tcW w:w="593" w:type="dxa"/>
            <w:vAlign w:val="center"/>
          </w:tcPr>
          <w:p w:rsidR="00104729" w:rsidRPr="00EA350A" w:rsidRDefault="00104729" w:rsidP="007F4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F4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F4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F4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F4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5562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D40870" w:rsidRPr="00EA350A" w:rsidTr="007F4BA0">
        <w:tc>
          <w:tcPr>
            <w:tcW w:w="593" w:type="dxa"/>
          </w:tcPr>
          <w:p w:rsidR="00D40870" w:rsidRPr="00EA350A" w:rsidRDefault="00D40870" w:rsidP="007F4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D40870" w:rsidRPr="008C779B" w:rsidRDefault="00D40870" w:rsidP="00D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9B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12012" w:type="dxa"/>
          </w:tcPr>
          <w:p w:rsidR="00D40870" w:rsidRPr="008C779B" w:rsidRDefault="00D40870" w:rsidP="007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9B">
              <w:rPr>
                <w:rFonts w:ascii="Times New Roman" w:hAnsi="Times New Roman" w:cs="Times New Roman"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276" w:type="dxa"/>
          </w:tcPr>
          <w:p w:rsidR="00D40870" w:rsidRPr="00EA350A" w:rsidRDefault="00556295" w:rsidP="005562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556295" w:rsidRDefault="00556295" w:rsidP="00556295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556295">
        <w:rPr>
          <w:rFonts w:ascii="Arial" w:hAnsi="Arial" w:cs="Arial"/>
          <w:sz w:val="28"/>
        </w:rPr>
        <w:t xml:space="preserve">2 </w:t>
      </w:r>
      <w:r>
        <w:rPr>
          <w:rFonts w:ascii="Arial" w:hAnsi="Arial" w:cs="Arial"/>
          <w:sz w:val="28"/>
        </w:rPr>
        <w:t>О</w:t>
      </w:r>
      <w:r w:rsidRPr="00556295">
        <w:rPr>
          <w:rFonts w:ascii="Arial" w:hAnsi="Arial" w:cs="Arial"/>
          <w:sz w:val="28"/>
        </w:rPr>
        <w:t>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556295" w:rsidRDefault="00104729" w:rsidP="005562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6295">
        <w:rPr>
          <w:rFonts w:ascii="Times New Roman" w:hAnsi="Times New Roman" w:cs="Times New Roman"/>
          <w:sz w:val="24"/>
          <w:szCs w:val="24"/>
        </w:rPr>
        <w:t>&lt;</w:t>
      </w:r>
      <w:r w:rsidR="003533D2" w:rsidRPr="00556295">
        <w:rPr>
          <w:sz w:val="24"/>
          <w:szCs w:val="24"/>
        </w:rPr>
        <w:t xml:space="preserve"> </w:t>
      </w:r>
      <w:r w:rsidR="003533D2" w:rsidRPr="00556295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="003533D2" w:rsidRPr="00556295">
        <w:rPr>
          <w:rFonts w:ascii="Times New Roman" w:hAnsi="Times New Roman" w:cs="Times New Roman"/>
          <w:sz w:val="24"/>
          <w:szCs w:val="24"/>
        </w:rPr>
        <w:t>-</w:t>
      </w:r>
      <w:r w:rsidR="00D40870" w:rsidRPr="00556295">
        <w:rPr>
          <w:rFonts w:ascii="Times New Roman" w:hAnsi="Times New Roman" w:cs="Times New Roman"/>
          <w:sz w:val="24"/>
          <w:szCs w:val="24"/>
        </w:rPr>
        <w:t>14</w:t>
      </w:r>
      <w:r w:rsidRPr="00556295">
        <w:rPr>
          <w:rFonts w:ascii="Times New Roman" w:hAnsi="Times New Roman" w:cs="Times New Roman"/>
          <w:sz w:val="24"/>
          <w:szCs w:val="24"/>
        </w:rPr>
        <w:t xml:space="preserve">&gt; </w:t>
      </w:r>
      <w:r w:rsidR="00D40870" w:rsidRPr="00556295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Pr="003533D2">
        <w:rPr>
          <w:rFonts w:ascii="Times New Roman" w:hAnsi="Times New Roman" w:cs="Times New Roman"/>
          <w:b/>
          <w:i/>
          <w:sz w:val="28"/>
        </w:rPr>
        <w:t>&gt;</w:t>
      </w:r>
    </w:p>
    <w:p w:rsidR="00104729" w:rsidRPr="003533D2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556295" w:rsidTr="007F4BA0">
        <w:tc>
          <w:tcPr>
            <w:tcW w:w="2426" w:type="dxa"/>
            <w:vMerge w:val="restart"/>
          </w:tcPr>
          <w:p w:rsidR="00104729" w:rsidRPr="00556295" w:rsidRDefault="00104729" w:rsidP="00556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</w:t>
            </w:r>
            <w:r w:rsidR="00556295" w:rsidRPr="00556295">
              <w:rPr>
                <w:rFonts w:ascii="Times New Roman" w:hAnsi="Times New Roman" w:cs="Times New Roman"/>
                <w:b/>
                <w:sz w:val="20"/>
                <w:szCs w:val="20"/>
              </w:rPr>
              <w:t>ценивания результатов обучения</w:t>
            </w:r>
          </w:p>
        </w:tc>
      </w:tr>
      <w:tr w:rsidR="00104729" w:rsidRPr="00556295" w:rsidTr="00556295">
        <w:trPr>
          <w:trHeight w:val="77"/>
        </w:trPr>
        <w:tc>
          <w:tcPr>
            <w:tcW w:w="2426" w:type="dxa"/>
            <w:vMerge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4729" w:rsidRPr="00556295" w:rsidTr="007F4BA0">
        <w:tc>
          <w:tcPr>
            <w:tcW w:w="2426" w:type="dxa"/>
          </w:tcPr>
          <w:p w:rsidR="00104729" w:rsidRPr="00556295" w:rsidRDefault="00104729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  <w:p w:rsidR="00104729" w:rsidRPr="00556295" w:rsidRDefault="00104729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104729" w:rsidRPr="00556295" w:rsidRDefault="00104729" w:rsidP="00D40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Отсутствие знания</w:t>
            </w:r>
            <w:r w:rsidR="003533D2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приемах, используемых в бухгалтерском учете</w:t>
            </w:r>
            <w:r w:rsidR="009C35EB" w:rsidRPr="00556295">
              <w:rPr>
                <w:rFonts w:ascii="Times New Roman" w:hAnsi="Times New Roman" w:cs="Times New Roman"/>
                <w:sz w:val="20"/>
                <w:szCs w:val="20"/>
              </w:rPr>
              <w:t>, целях, задачах, видах учета и их особенностях</w:t>
            </w:r>
          </w:p>
        </w:tc>
        <w:tc>
          <w:tcPr>
            <w:tcW w:w="2511" w:type="dxa"/>
          </w:tcPr>
          <w:p w:rsidR="00104729" w:rsidRPr="00556295" w:rsidRDefault="00104729" w:rsidP="00353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Фрагментарное знание.</w:t>
            </w:r>
            <w:r w:rsidR="003533D2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приемах, используемых в бухгалтерском учете</w:t>
            </w:r>
            <w:r w:rsidR="009C35EB" w:rsidRPr="00556295">
              <w:rPr>
                <w:rFonts w:ascii="Times New Roman" w:hAnsi="Times New Roman" w:cs="Times New Roman"/>
                <w:sz w:val="20"/>
                <w:szCs w:val="20"/>
              </w:rPr>
              <w:t>, целях, задачах, видах учета и их особенностях</w:t>
            </w:r>
          </w:p>
        </w:tc>
        <w:tc>
          <w:tcPr>
            <w:tcW w:w="2694" w:type="dxa"/>
          </w:tcPr>
          <w:p w:rsidR="00104729" w:rsidRPr="00556295" w:rsidRDefault="00104729" w:rsidP="00353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Неполное знание</w:t>
            </w:r>
            <w:r w:rsidR="003533D2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приемах, используемых в бухгалтерском учете</w:t>
            </w:r>
            <w:r w:rsidR="009C35EB" w:rsidRPr="00556295">
              <w:rPr>
                <w:rFonts w:ascii="Times New Roman" w:hAnsi="Times New Roman" w:cs="Times New Roman"/>
                <w:sz w:val="20"/>
                <w:szCs w:val="20"/>
              </w:rPr>
              <w:t>, целях, задачах, видах учета и их особенностях</w:t>
            </w:r>
          </w:p>
        </w:tc>
        <w:tc>
          <w:tcPr>
            <w:tcW w:w="2693" w:type="dxa"/>
          </w:tcPr>
          <w:p w:rsidR="00104729" w:rsidRPr="00556295" w:rsidRDefault="00104729" w:rsidP="00353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знание</w:t>
            </w:r>
            <w:r w:rsidR="003533D2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293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приемах, используемых в бухгалтерском учете </w:t>
            </w:r>
            <w:r w:rsidR="003533D2" w:rsidRPr="00556295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9C35EB" w:rsidRPr="00556295">
              <w:rPr>
                <w:rFonts w:ascii="Times New Roman" w:hAnsi="Times New Roman" w:cs="Times New Roman"/>
                <w:sz w:val="20"/>
                <w:szCs w:val="20"/>
              </w:rPr>
              <w:t>, целях, задачах, видах учета и их особенностях</w:t>
            </w:r>
          </w:p>
        </w:tc>
        <w:tc>
          <w:tcPr>
            <w:tcW w:w="2693" w:type="dxa"/>
          </w:tcPr>
          <w:p w:rsidR="00104729" w:rsidRPr="00556295" w:rsidRDefault="00104729" w:rsidP="00353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знание</w:t>
            </w:r>
            <w:r w:rsidR="003533D2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приемах, используемых в бухгалтерском учете</w:t>
            </w:r>
            <w:r w:rsidR="009C35EB" w:rsidRPr="00556295">
              <w:rPr>
                <w:rFonts w:ascii="Times New Roman" w:hAnsi="Times New Roman" w:cs="Times New Roman"/>
                <w:sz w:val="20"/>
                <w:szCs w:val="20"/>
              </w:rPr>
              <w:t>, целях, задачах, видах учета и их особенностях</w:t>
            </w:r>
          </w:p>
        </w:tc>
      </w:tr>
      <w:tr w:rsidR="00104729" w:rsidRPr="00556295" w:rsidTr="007F4BA0">
        <w:tc>
          <w:tcPr>
            <w:tcW w:w="2426" w:type="dxa"/>
          </w:tcPr>
          <w:p w:rsidR="00104729" w:rsidRPr="00556295" w:rsidRDefault="00104729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104729" w:rsidRPr="00556295" w:rsidRDefault="00104729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104729" w:rsidRPr="00556295" w:rsidRDefault="00104729" w:rsidP="00D40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Отсутствие умения</w:t>
            </w:r>
            <w:r w:rsidR="003E576C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по бухгалтерскому учету</w:t>
            </w:r>
          </w:p>
        </w:tc>
        <w:tc>
          <w:tcPr>
            <w:tcW w:w="2511" w:type="dxa"/>
          </w:tcPr>
          <w:p w:rsidR="00104729" w:rsidRPr="00556295" w:rsidRDefault="00104729" w:rsidP="003E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Фрагментарное умение</w:t>
            </w:r>
            <w:r w:rsidR="003E576C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по бухгалтерскому учету</w:t>
            </w:r>
          </w:p>
        </w:tc>
        <w:tc>
          <w:tcPr>
            <w:tcW w:w="2694" w:type="dxa"/>
          </w:tcPr>
          <w:p w:rsidR="00104729" w:rsidRPr="00556295" w:rsidRDefault="00104729" w:rsidP="003E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Неполное умение</w:t>
            </w:r>
            <w:r w:rsidR="003E576C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по бухгалтерскому учету</w:t>
            </w:r>
          </w:p>
        </w:tc>
        <w:tc>
          <w:tcPr>
            <w:tcW w:w="2693" w:type="dxa"/>
          </w:tcPr>
          <w:p w:rsidR="00104729" w:rsidRPr="00556295" w:rsidRDefault="00104729" w:rsidP="003E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умение</w:t>
            </w:r>
            <w:r w:rsidR="003E576C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по бухгалтерскому учету</w:t>
            </w:r>
          </w:p>
        </w:tc>
        <w:tc>
          <w:tcPr>
            <w:tcW w:w="2693" w:type="dxa"/>
          </w:tcPr>
          <w:p w:rsidR="00104729" w:rsidRPr="00556295" w:rsidRDefault="00104729" w:rsidP="003E5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умение</w:t>
            </w:r>
            <w:r w:rsidR="003E576C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по бухгалтерскому учету</w:t>
            </w:r>
          </w:p>
        </w:tc>
      </w:tr>
      <w:tr w:rsidR="00104729" w:rsidRPr="00556295" w:rsidTr="007F4BA0">
        <w:tc>
          <w:tcPr>
            <w:tcW w:w="2426" w:type="dxa"/>
          </w:tcPr>
          <w:p w:rsidR="00104729" w:rsidRPr="00556295" w:rsidRDefault="00104729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  <w:p w:rsidR="00104729" w:rsidRPr="00556295" w:rsidRDefault="00104729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Pr="00D40870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3E576C" w:rsidRPr="00D40870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3E576C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556295" w:rsidRDefault="00104729" w:rsidP="00104729">
      <w:pPr>
        <w:spacing w:after="100" w:line="240" w:lineRule="auto"/>
        <w:jc w:val="both"/>
        <w:rPr>
          <w:rFonts w:ascii="Arial" w:hAnsi="Arial" w:cs="Arial"/>
          <w:sz w:val="28"/>
          <w:szCs w:val="28"/>
        </w:rPr>
      </w:pPr>
      <w:r w:rsidRPr="00556295">
        <w:rPr>
          <w:rFonts w:ascii="Arial" w:hAnsi="Arial" w:cs="Arial"/>
          <w:sz w:val="28"/>
          <w:szCs w:val="28"/>
        </w:rPr>
        <w:lastRenderedPageBreak/>
        <w:t xml:space="preserve">3 </w:t>
      </w:r>
      <w:r w:rsidR="00556295">
        <w:rPr>
          <w:rFonts w:ascii="Arial" w:hAnsi="Arial" w:cs="Arial"/>
          <w:sz w:val="28"/>
          <w:szCs w:val="28"/>
        </w:rPr>
        <w:t>П</w:t>
      </w:r>
      <w:r w:rsidR="00556295" w:rsidRPr="00556295">
        <w:rPr>
          <w:rFonts w:ascii="Arial" w:hAnsi="Arial" w:cs="Arial"/>
          <w:sz w:val="28"/>
          <w:szCs w:val="28"/>
        </w:rPr>
        <w:t>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556295" w:rsidTr="007F4BA0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Оценочные средства*</w:t>
            </w:r>
          </w:p>
        </w:tc>
      </w:tr>
      <w:tr w:rsidR="00104729" w:rsidRPr="00556295" w:rsidTr="007F4BA0">
        <w:trPr>
          <w:trHeight w:val="562"/>
          <w:jc w:val="right"/>
        </w:trPr>
        <w:tc>
          <w:tcPr>
            <w:tcW w:w="704" w:type="dxa"/>
            <w:vMerge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556295" w:rsidRDefault="00104729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3E576C" w:rsidRPr="00556295" w:rsidTr="007F4BA0">
        <w:trPr>
          <w:trHeight w:val="75"/>
          <w:jc w:val="right"/>
        </w:trPr>
        <w:tc>
          <w:tcPr>
            <w:tcW w:w="704" w:type="dxa"/>
            <w:vMerge w:val="restart"/>
          </w:tcPr>
          <w:p w:rsidR="003E576C" w:rsidRPr="00556295" w:rsidRDefault="003E576C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2" w:type="dxa"/>
            <w:vMerge w:val="restart"/>
          </w:tcPr>
          <w:p w:rsidR="003E576C" w:rsidRPr="00556295" w:rsidRDefault="003E576C" w:rsidP="00D4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2" w:type="dxa"/>
          </w:tcPr>
          <w:p w:rsidR="003E576C" w:rsidRPr="00556295" w:rsidRDefault="003E576C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7" w:type="dxa"/>
          </w:tcPr>
          <w:p w:rsidR="003E576C" w:rsidRPr="00556295" w:rsidRDefault="009B6FBA" w:rsidP="007F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Виды учета и их особенности; цели, задачи и принципы бухгалтерского учета</w:t>
            </w:r>
          </w:p>
        </w:tc>
        <w:tc>
          <w:tcPr>
            <w:tcW w:w="2970" w:type="dxa"/>
          </w:tcPr>
          <w:p w:rsidR="00BE15A9" w:rsidRDefault="00534008" w:rsidP="006B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15A9">
              <w:rPr>
                <w:rFonts w:ascii="Times New Roman" w:hAnsi="Times New Roman" w:cs="Times New Roman"/>
                <w:sz w:val="20"/>
                <w:szCs w:val="20"/>
              </w:rPr>
              <w:t>квозн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BE15A9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1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76C" w:rsidRPr="00556295" w:rsidRDefault="003E576C" w:rsidP="006B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="00AE3ED1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8CA" w:rsidRPr="00556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3ED1" w:rsidRPr="00556295">
              <w:rPr>
                <w:rFonts w:ascii="Times New Roman" w:hAnsi="Times New Roman" w:cs="Times New Roman"/>
                <w:sz w:val="20"/>
                <w:szCs w:val="20"/>
              </w:rPr>
              <w:t>, Тест №</w:t>
            </w:r>
            <w:r w:rsidR="00A858CA" w:rsidRPr="00556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0842" w:rsidRPr="00556295" w:rsidRDefault="00185EEC" w:rsidP="006B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Тест № 4, Тест №</w:t>
            </w:r>
            <w:r w:rsidR="00A858CA" w:rsidRPr="005562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842"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5EEC" w:rsidRPr="00556295" w:rsidRDefault="006B0842" w:rsidP="006B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Тест № 7</w:t>
            </w:r>
          </w:p>
        </w:tc>
      </w:tr>
      <w:tr w:rsidR="00D40870" w:rsidRPr="00556295" w:rsidTr="007F4BA0">
        <w:trPr>
          <w:trHeight w:val="75"/>
          <w:jc w:val="right"/>
        </w:trPr>
        <w:tc>
          <w:tcPr>
            <w:tcW w:w="704" w:type="dxa"/>
            <w:vMerge/>
          </w:tcPr>
          <w:p w:rsidR="00D40870" w:rsidRPr="00556295" w:rsidRDefault="00D40870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40870" w:rsidRPr="00556295" w:rsidRDefault="00D40870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D40870" w:rsidRPr="00556295" w:rsidRDefault="00D40870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7" w:type="dxa"/>
            <w:vAlign w:val="center"/>
          </w:tcPr>
          <w:p w:rsidR="00D40870" w:rsidRPr="00556295" w:rsidRDefault="00D40870" w:rsidP="007F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по бухгалтерскому учету</w:t>
            </w:r>
          </w:p>
        </w:tc>
        <w:tc>
          <w:tcPr>
            <w:tcW w:w="2970" w:type="dxa"/>
          </w:tcPr>
          <w:p w:rsidR="00185EEC" w:rsidRPr="00556295" w:rsidRDefault="00185EEC" w:rsidP="0055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 xml:space="preserve">Тест № </w:t>
            </w:r>
            <w:r w:rsidR="00A858CA" w:rsidRPr="00556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0870" w:rsidRPr="00556295">
              <w:rPr>
                <w:rFonts w:ascii="Times New Roman" w:hAnsi="Times New Roman" w:cs="Times New Roman"/>
                <w:sz w:val="20"/>
                <w:szCs w:val="20"/>
              </w:rPr>
              <w:t>, Тест №</w:t>
            </w:r>
            <w:r w:rsidR="00A858CA" w:rsidRPr="00556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0842" w:rsidRPr="005562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295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="00A858CA" w:rsidRPr="00556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4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56295" w:rsidRDefault="00556295" w:rsidP="00556295">
      <w:pPr>
        <w:spacing w:after="100" w:line="240" w:lineRule="auto"/>
        <w:jc w:val="both"/>
        <w:rPr>
          <w:rFonts w:ascii="Arial" w:hAnsi="Arial" w:cs="Arial"/>
          <w:sz w:val="28"/>
        </w:rPr>
      </w:pPr>
    </w:p>
    <w:p w:rsidR="00556295" w:rsidRPr="00435F77" w:rsidRDefault="00556295" w:rsidP="00556295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435F77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>О</w:t>
      </w:r>
      <w:r w:rsidRPr="00435F77">
        <w:rPr>
          <w:rFonts w:ascii="Arial" w:hAnsi="Arial" w:cs="Arial"/>
          <w:sz w:val="28"/>
        </w:rPr>
        <w:t>писание процедуры оценивания</w:t>
      </w:r>
    </w:p>
    <w:p w:rsidR="00556295" w:rsidRPr="00EA350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56295" w:rsidRDefault="00556295" w:rsidP="0055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 w:rsidRPr="00B35589">
        <w:rPr>
          <w:rFonts w:ascii="Times New Roman" w:hAnsi="Times New Roman" w:cs="Times New Roman"/>
          <w:sz w:val="24"/>
          <w:szCs w:val="24"/>
        </w:rPr>
        <w:t xml:space="preserve">дисциплине «Бухгалтерский учет модуль 1» включает в себя </w:t>
      </w:r>
      <w:r w:rsidRPr="00B35589">
        <w:rPr>
          <w:rFonts w:ascii="Times New Roman" w:hAnsi="Times New Roman" w:cs="Times New Roman"/>
          <w:sz w:val="24"/>
        </w:rPr>
        <w:t>теоретические задания, позволяющие оценить уровень усвоения обучающимися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556295" w:rsidRDefault="00556295" w:rsidP="0055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556295" w:rsidRDefault="00556295" w:rsidP="0055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556295" w:rsidRDefault="00556295" w:rsidP="0055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380"/>
        <w:gridCol w:w="7761"/>
      </w:tblGrid>
      <w:tr w:rsidR="00556295" w:rsidRPr="00435F77" w:rsidTr="007F4BA0">
        <w:trPr>
          <w:trHeight w:val="1022"/>
        </w:trPr>
        <w:tc>
          <w:tcPr>
            <w:tcW w:w="1280" w:type="dxa"/>
            <w:vAlign w:val="center"/>
          </w:tcPr>
          <w:p w:rsidR="00556295" w:rsidRPr="00435F77" w:rsidRDefault="00556295" w:rsidP="007F4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380" w:type="dxa"/>
            <w:vAlign w:val="center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761" w:type="dxa"/>
            <w:vAlign w:val="center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556295" w:rsidRPr="00435F77" w:rsidTr="007F4BA0">
        <w:tc>
          <w:tcPr>
            <w:tcW w:w="12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3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761" w:type="dxa"/>
          </w:tcPr>
          <w:p w:rsidR="00556295" w:rsidRPr="00435F77" w:rsidRDefault="00556295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56295" w:rsidRPr="00435F77" w:rsidTr="007F4BA0">
        <w:tc>
          <w:tcPr>
            <w:tcW w:w="12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3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761" w:type="dxa"/>
          </w:tcPr>
          <w:p w:rsidR="00556295" w:rsidRPr="00435F77" w:rsidRDefault="00556295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56295" w:rsidRPr="00435F77" w:rsidTr="007F4BA0">
        <w:tc>
          <w:tcPr>
            <w:tcW w:w="12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3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761" w:type="dxa"/>
          </w:tcPr>
          <w:p w:rsidR="00556295" w:rsidRPr="00435F77" w:rsidRDefault="00556295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56295" w:rsidRPr="00435F77" w:rsidTr="007F4BA0">
        <w:tc>
          <w:tcPr>
            <w:tcW w:w="12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3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761" w:type="dxa"/>
          </w:tcPr>
          <w:p w:rsidR="00556295" w:rsidRPr="00435F77" w:rsidRDefault="00556295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35F7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556295" w:rsidRPr="00435F77" w:rsidTr="007F4BA0">
        <w:tc>
          <w:tcPr>
            <w:tcW w:w="12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380" w:type="dxa"/>
          </w:tcPr>
          <w:p w:rsidR="00556295" w:rsidRPr="00435F77" w:rsidRDefault="00556295" w:rsidP="007F4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761" w:type="dxa"/>
          </w:tcPr>
          <w:p w:rsidR="00556295" w:rsidRPr="00435F77" w:rsidRDefault="00556295" w:rsidP="007F4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77">
              <w:rPr>
                <w:rFonts w:ascii="Times New Roman" w:hAnsi="Times New Roman" w:cs="Times New Roman"/>
                <w:sz w:val="20"/>
                <w:szCs w:val="2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556295" w:rsidRPr="00EA350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295" w:rsidRPr="00435F77" w:rsidRDefault="00556295" w:rsidP="00556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 К</w:t>
      </w:r>
      <w:r w:rsidRPr="00435F77">
        <w:rPr>
          <w:rFonts w:ascii="Arial" w:hAnsi="Arial" w:cs="Arial"/>
          <w:sz w:val="24"/>
          <w:szCs w:val="24"/>
        </w:rPr>
        <w:t>омплекс оценочных средств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5A" w:rsidRDefault="00144C5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5A">
        <w:rPr>
          <w:rFonts w:ascii="Times New Roman" w:hAnsi="Times New Roman" w:cs="Times New Roman"/>
          <w:sz w:val="24"/>
          <w:szCs w:val="24"/>
        </w:rPr>
        <w:t xml:space="preserve">5.1 </w:t>
      </w:r>
      <w:proofErr w:type="gramStart"/>
      <w:r w:rsidRPr="00144C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C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4C5A">
        <w:rPr>
          <w:rFonts w:ascii="Times New Roman" w:hAnsi="Times New Roman" w:cs="Times New Roman"/>
          <w:sz w:val="24"/>
          <w:szCs w:val="24"/>
        </w:rPr>
        <w:t xml:space="preserve">цессе изучения дисциплины </w:t>
      </w:r>
      <w:r>
        <w:rPr>
          <w:rFonts w:ascii="Times New Roman" w:hAnsi="Times New Roman" w:cs="Times New Roman"/>
          <w:sz w:val="24"/>
          <w:szCs w:val="24"/>
        </w:rPr>
        <w:t>«Бухгалтерский учет модуль1» предполагается решение сквозной задачи. Предлагаемая задача содержит комплекс взаимос</w:t>
      </w:r>
      <w:r w:rsidR="00E670CB">
        <w:rPr>
          <w:rFonts w:ascii="Times New Roman" w:hAnsi="Times New Roman" w:cs="Times New Roman"/>
          <w:sz w:val="24"/>
          <w:szCs w:val="24"/>
        </w:rPr>
        <w:t xml:space="preserve">вязанных хозяйственных фактов, отражающих деятельность предприятия. </w:t>
      </w:r>
      <w:r w:rsidR="0038235C">
        <w:rPr>
          <w:rFonts w:ascii="Times New Roman" w:hAnsi="Times New Roman" w:cs="Times New Roman"/>
          <w:sz w:val="24"/>
          <w:szCs w:val="24"/>
        </w:rPr>
        <w:t>Предполагается формирование журнала хозяйственных фактов, заполнение учетных регистров, оборотной ведомости, форм отчетности.</w:t>
      </w:r>
    </w:p>
    <w:p w:rsidR="0038235C" w:rsidRDefault="0038235C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оценивается в 20 баллов.</w:t>
      </w:r>
    </w:p>
    <w:p w:rsidR="009C7C97" w:rsidRDefault="009C7C97" w:rsidP="009C7C9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8959"/>
      </w:tblGrid>
      <w:tr w:rsidR="009C7C97" w:rsidTr="009C7C97">
        <w:tc>
          <w:tcPr>
            <w:tcW w:w="1214" w:type="dxa"/>
          </w:tcPr>
          <w:p w:rsidR="009C7C97" w:rsidRDefault="009C7C97" w:rsidP="007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959" w:type="dxa"/>
          </w:tcPr>
          <w:p w:rsidR="009C7C97" w:rsidRDefault="009C7C97" w:rsidP="007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C7C97" w:rsidTr="009C7C97">
        <w:tc>
          <w:tcPr>
            <w:tcW w:w="1214" w:type="dxa"/>
          </w:tcPr>
          <w:p w:rsidR="009C7C97" w:rsidRDefault="009C7C97" w:rsidP="009C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8959" w:type="dxa"/>
          </w:tcPr>
          <w:p w:rsidR="009C7C97" w:rsidRDefault="009C7C97" w:rsidP="007F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полного комплекса заданий, защита задачи</w:t>
            </w:r>
          </w:p>
        </w:tc>
      </w:tr>
      <w:tr w:rsidR="009C7C97" w:rsidTr="009C7C97">
        <w:tc>
          <w:tcPr>
            <w:tcW w:w="1214" w:type="dxa"/>
          </w:tcPr>
          <w:p w:rsidR="009C7C97" w:rsidRDefault="009C7C97" w:rsidP="009C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10–15</w:t>
            </w:r>
          </w:p>
        </w:tc>
        <w:tc>
          <w:tcPr>
            <w:tcW w:w="8959" w:type="dxa"/>
          </w:tcPr>
          <w:p w:rsidR="009C7C97" w:rsidRDefault="009C7C97" w:rsidP="007F4B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полного комплекса заданий </w:t>
            </w:r>
          </w:p>
        </w:tc>
      </w:tr>
      <w:tr w:rsidR="009C7C97" w:rsidTr="009C7C97">
        <w:tc>
          <w:tcPr>
            <w:tcW w:w="1214" w:type="dxa"/>
          </w:tcPr>
          <w:p w:rsidR="009C7C97" w:rsidRDefault="009C7C97" w:rsidP="009C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8959" w:type="dxa"/>
          </w:tcPr>
          <w:p w:rsidR="009C7C97" w:rsidRDefault="009C7C97" w:rsidP="007F4BA0">
            <w:r>
              <w:rPr>
                <w:rFonts w:ascii="Times New Roman" w:hAnsi="Times New Roman" w:cs="Times New Roman"/>
                <w:sz w:val="24"/>
                <w:szCs w:val="24"/>
              </w:rPr>
              <w:t>Частичное выполнение отдельных пунктов сквозного задания</w:t>
            </w:r>
          </w:p>
        </w:tc>
      </w:tr>
    </w:tbl>
    <w:p w:rsidR="009C7C97" w:rsidRPr="00144C5A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5" w:rsidRPr="00144C5A" w:rsidRDefault="00144C5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5A">
        <w:rPr>
          <w:rFonts w:ascii="Times New Roman" w:hAnsi="Times New Roman" w:cs="Times New Roman"/>
          <w:sz w:val="24"/>
          <w:szCs w:val="24"/>
        </w:rPr>
        <w:t>5.2</w:t>
      </w:r>
    </w:p>
    <w:p w:rsidR="00556295" w:rsidRPr="00435F77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77">
        <w:rPr>
          <w:rFonts w:ascii="Times New Roman" w:hAnsi="Times New Roman" w:cs="Times New Roman"/>
          <w:b/>
          <w:sz w:val="24"/>
          <w:szCs w:val="24"/>
        </w:rPr>
        <w:t>Тест №1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1. Особенностью бухгалтерского учета является: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отражение хозяйственных операций периодически,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отражение хозяйственных операций непрерывно во времени,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B6FBA">
        <w:rPr>
          <w:rFonts w:ascii="Times New Roman" w:hAnsi="Times New Roman" w:cs="Times New Roman"/>
          <w:spacing w:val="-4"/>
          <w:sz w:val="24"/>
          <w:szCs w:val="24"/>
        </w:rPr>
        <w:t>3) отражение хозяйственных операций только на 1-е число месяца,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отражение хозяйственных операций только на последнее число месяца.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2. Основу бухгалтерского учета составляет информация: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 плановая,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 нормативная,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 о фактически свершившихся фактах хозяйственной жизни,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 прогнозная.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3. Основным в бухгалтерском учете является измеритель: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 натуральный,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 трудовой,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 денежный,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 количественный.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4. Основанием для записи в учетные регистры служит: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 распоряжение руководителя,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 отчетность материально ответственного лица,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 первичный документ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 свершившийся факт хозяйственной жизни организации.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 xml:space="preserve">5. Статистический учет позволяет дать: 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1)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качественную характеристику общественных массовых явлений,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2)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количественную и качественную характеристику общественных массовых явлений в непрерывных условиях места и времени,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3)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количественную характеристику общественных массовых явлений,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BA">
        <w:rPr>
          <w:rFonts w:ascii="Times New Roman" w:hAnsi="Times New Roman" w:cs="Times New Roman"/>
          <w:bCs/>
          <w:sz w:val="24"/>
          <w:szCs w:val="24"/>
        </w:rPr>
        <w:t>4)</w:t>
      </w:r>
      <w:r w:rsidRPr="009B6FBA">
        <w:rPr>
          <w:rFonts w:ascii="Times New Roman" w:hAnsi="Times New Roman" w:cs="Times New Roman"/>
          <w:sz w:val="24"/>
          <w:szCs w:val="24"/>
        </w:rPr>
        <w:t xml:space="preserve"> количественную и натуральную характеристику производственных процессов.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6. Целью бухгалтерского учета является: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строгое соблюдение нормативных актов,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последовательность соблюдения учетной политики,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формирование полной и достоверной информации для налоговых органов,</w:t>
      </w:r>
    </w:p>
    <w:p w:rsidR="00556295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формирование полной и достоверной информации для внешних и внутренних пользователей.</w:t>
      </w:r>
    </w:p>
    <w:p w:rsidR="00310254" w:rsidRDefault="00310254" w:rsidP="0031025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lastRenderedPageBreak/>
        <w:t>Тест №2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7. Предметом бухгалтерского учета является: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процессы, происходящие в регионе;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производственно</w:t>
      </w:r>
      <w:r w:rsidRPr="009B6FBA">
        <w:rPr>
          <w:rFonts w:ascii="Times New Roman" w:hAnsi="Times New Roman" w:cs="Times New Roman"/>
          <w:noProof/>
          <w:sz w:val="24"/>
          <w:szCs w:val="24"/>
        </w:rPr>
        <w:t>-</w:t>
      </w:r>
      <w:r w:rsidRPr="009B6FBA">
        <w:rPr>
          <w:rFonts w:ascii="Times New Roman" w:hAnsi="Times New Roman" w:cs="Times New Roman"/>
          <w:sz w:val="24"/>
          <w:szCs w:val="24"/>
        </w:rPr>
        <w:t>хозяйственная деятельность организации;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отношения в трудовых коллективах;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расчетные взаимоотношения организации.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8. К группе «предметы труда» относятся: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готовая продукция;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топливо;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наличные денежные средства в кассе предприятия;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дебиторская задолженность.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9. Организация располагает экономическими ресурсами на сумму 35 800 руб. Обязательства организации составляют 9000 руб. Какова величина собственного капитала организации?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2900 руб.;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1100 руб.;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2000 руб.;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 Ваш вариант _________________ руб.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4. К какой группе имущества организации относится программа комплексной автоматизации бухгалтерского учета «БЭСТ»?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основные средства;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2</w:t>
      </w:r>
      <w:r w:rsidRPr="009B6FBA">
        <w:rPr>
          <w:rFonts w:ascii="Times New Roman" w:hAnsi="Times New Roman" w:cs="Times New Roman"/>
          <w:sz w:val="24"/>
          <w:szCs w:val="24"/>
        </w:rPr>
        <w:t>) средства в расчетах;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долгосрочные финансовые вложения;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нематериальные активы.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10. Готовая продукция – это: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продукция, не прошедшая всех стадий технологической обработки, или не сданная на склад;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продукция, произведенная на данном предприятии и сданная на склад;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продукция, произведенная на данном предприятии, но не сданная на склад;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товары, приобретенные организацией для продажи.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11. К собственным источникам образования имущества относят: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денежные средства;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средства в расчетах;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уставный капитал, добавочный капитал, нераспределенную прибыль;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долгосрочные займы.</w:t>
      </w: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7F4BA0" w:rsidRPr="009B6FBA" w:rsidRDefault="007F4BA0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№3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9B6FBA">
        <w:rPr>
          <w:rFonts w:ascii="Times New Roman" w:hAnsi="Times New Roman" w:cs="Times New Roman"/>
          <w:sz w:val="24"/>
          <w:szCs w:val="24"/>
        </w:rPr>
        <w:t>Пассив баланса – это группировка средств по: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источникам образования и целевому</w:t>
      </w: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sz w:val="24"/>
          <w:szCs w:val="24"/>
        </w:rPr>
        <w:t>назначению;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видам и размещению;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фондам;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видам и источникам образования.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9B6FBA">
        <w:rPr>
          <w:rFonts w:ascii="Times New Roman" w:hAnsi="Times New Roman" w:cs="Times New Roman"/>
          <w:sz w:val="24"/>
          <w:szCs w:val="24"/>
        </w:rPr>
        <w:t>В пассиве баланса сгруппированы: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средства;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источники;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дебиторская задолженность;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4) хозяйственные операции</w:t>
      </w:r>
      <w:r w:rsidRPr="009B6FBA">
        <w:rPr>
          <w:rFonts w:ascii="Times New Roman" w:hAnsi="Times New Roman" w:cs="Times New Roman"/>
          <w:sz w:val="24"/>
          <w:szCs w:val="24"/>
        </w:rPr>
        <w:t>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14. Валюта баланса: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1) статья актива или пассива баланса;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итоговая статья актива или пассива баланса;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совокупность нескольких статей актива или пассива, объединенных одним классификационным основанием;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баланс, составленный в иностранной валюте.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9B6FBA">
        <w:rPr>
          <w:rFonts w:ascii="Times New Roman" w:hAnsi="Times New Roman" w:cs="Times New Roman"/>
          <w:sz w:val="24"/>
          <w:szCs w:val="24"/>
        </w:rPr>
        <w:t>К какому типу относится хозяйственная операция «Возвращена поставщикам некачественная продукция»: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к первому;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ко второму;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к третьему;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к четвертому.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Pr="009B6FBA">
        <w:rPr>
          <w:rFonts w:ascii="Times New Roman" w:hAnsi="Times New Roman" w:cs="Times New Roman"/>
          <w:sz w:val="24"/>
          <w:szCs w:val="24"/>
        </w:rPr>
        <w:t>Хозяйственная операция «Получен кредит банка на погашение долга поставщику» относится: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к первому;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ко второму;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к третьему;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к четвертому.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17. </w:t>
      </w:r>
      <w:r w:rsidRPr="009B6FBA">
        <w:rPr>
          <w:rFonts w:ascii="Times New Roman" w:hAnsi="Times New Roman" w:cs="Times New Roman"/>
          <w:sz w:val="24"/>
          <w:szCs w:val="24"/>
        </w:rPr>
        <w:t>Под влиянием хозяйственных операций третьего типа: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B6FBA">
        <w:rPr>
          <w:rFonts w:ascii="Times New Roman" w:hAnsi="Times New Roman" w:cs="Times New Roman"/>
          <w:sz w:val="24"/>
          <w:szCs w:val="24"/>
        </w:rPr>
        <w:t>валюта баланса не изменяется;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B6FBA">
        <w:rPr>
          <w:rFonts w:ascii="Times New Roman" w:hAnsi="Times New Roman" w:cs="Times New Roman"/>
          <w:sz w:val="24"/>
          <w:szCs w:val="24"/>
        </w:rPr>
        <w:t>валюта баланса увеличивается;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B6FBA">
        <w:rPr>
          <w:rFonts w:ascii="Times New Roman" w:hAnsi="Times New Roman" w:cs="Times New Roman"/>
          <w:sz w:val="24"/>
          <w:szCs w:val="24"/>
        </w:rPr>
        <w:t>валюта баланса уменьшается;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B6FBA">
        <w:rPr>
          <w:rFonts w:ascii="Times New Roman" w:hAnsi="Times New Roman" w:cs="Times New Roman"/>
          <w:sz w:val="24"/>
          <w:szCs w:val="24"/>
        </w:rPr>
        <w:t>увеличивается итог актива баланса.</w:t>
      </w: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58093B" w:rsidRPr="009B6FBA" w:rsidRDefault="0058093B" w:rsidP="0055629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№4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18. Определить правильный порядок записи на пассивном счете: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на пассивном счете первоначальный остаток записывается в кредит, увеличение – в дебет, уменьшение – в кредит;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на пассивном счете начальный остаток записывается в кредит, увеличение – в кредит, уменьшение – в дебет;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на пассивном счете начальный остаток записывается в дебет,</w:t>
      </w: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sz w:val="24"/>
          <w:szCs w:val="24"/>
        </w:rPr>
        <w:t>увеличение – в дебет, а уменьшение – в кредит;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на пассивном счете первоначальный остаток записывается в дебет, увеличение – в кредит, уменьшение – в дебет.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19. О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статок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на активных счетах определяют: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к начальному остатку по дебету прибавляется дебетовый оборот и вычитается кредитовый;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начальный остаток, плюс оборот по дебету, плюс оборот по кредиту;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к начальному остатку прибавляется кредитовый оборот и вычитается дебетовый оборот;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начальный остаток уменьшается на сумму дебетового оборота и кредитового оборота.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20. Д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войная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запись обеспечивает взаимосвязь между: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субсчетом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и аналитическим счетом;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счетами;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счетами и балансом;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формами отчетности.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21. </w:t>
      </w:r>
      <w:r w:rsidRPr="009B6FBA">
        <w:rPr>
          <w:rFonts w:ascii="Times New Roman" w:hAnsi="Times New Roman" w:cs="Times New Roman"/>
          <w:sz w:val="24"/>
          <w:szCs w:val="24"/>
        </w:rPr>
        <w:t>Корреспонденция счетов – это взаимосвязь между: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синтетическим и аналитическим счетами;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аналитическими счетами и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субсчетами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>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дебетом одного счета и кредитом другого;</w:t>
      </w:r>
    </w:p>
    <w:p w:rsidR="00556295" w:rsidRPr="009B6FBA" w:rsidRDefault="00556295" w:rsidP="00556295">
      <w:pPr>
        <w:pStyle w:val="ae"/>
        <w:jc w:val="both"/>
        <w:rPr>
          <w:rFonts w:ascii="Times New Roman" w:hAnsi="Times New Roman"/>
          <w:spacing w:val="-4"/>
          <w:sz w:val="24"/>
          <w:szCs w:val="24"/>
        </w:rPr>
      </w:pPr>
      <w:r w:rsidRPr="009B6FBA">
        <w:rPr>
          <w:rFonts w:ascii="Times New Roman" w:hAnsi="Times New Roman"/>
          <w:spacing w:val="-4"/>
          <w:sz w:val="24"/>
          <w:szCs w:val="24"/>
        </w:rPr>
        <w:lastRenderedPageBreak/>
        <w:t>4) синтетическими счетами и формами бухгалтерской отчетности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22. </w:t>
      </w:r>
      <w:r w:rsidRPr="009B6FBA">
        <w:rPr>
          <w:rFonts w:ascii="Times New Roman" w:hAnsi="Times New Roman" w:cs="Times New Roman"/>
          <w:sz w:val="24"/>
          <w:szCs w:val="24"/>
        </w:rPr>
        <w:t>При отпуске материалов в производство делается проводка: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51;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60.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 xml:space="preserve">23. </w:t>
      </w:r>
      <w:r w:rsidRPr="009B6FBA">
        <w:rPr>
          <w:rFonts w:ascii="Times New Roman" w:hAnsi="Times New Roman" w:cs="Times New Roman"/>
          <w:sz w:val="24"/>
          <w:szCs w:val="24"/>
        </w:rPr>
        <w:t>При выпуске из производства готовой продукции делается проводка: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24. К активно-пассивным счетам относятся: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80, 66, 10, 20;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70, 71, 76, 50;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71, 76, 75;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01, 51, 76, 86.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25. Аналитические счета используют для: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получения обобщенных данных об объектах бухучета;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получения информации о рынке, банках, конкурентных организациях и товарах;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обобщения данных синтетических счетов;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получения подробных данных об объектах бухучета.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26. Синтетический учет представляет собой: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обобщение показателей об объектах бухгалтерского учета в денежном выражении;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отражение хозяйственной операции на счетах бухгалтерского учета;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способ группировки имущества организации;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детализация показателей в денежных и трудовых измерителях.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noProof/>
          <w:sz w:val="24"/>
          <w:szCs w:val="24"/>
        </w:rPr>
        <w:t>27. В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заимосвязь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между бухгалтерскими счетами и балансом выражают: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6FBA">
        <w:rPr>
          <w:rFonts w:ascii="Times New Roman" w:hAnsi="Times New Roman" w:cs="Times New Roman"/>
          <w:spacing w:val="-4"/>
          <w:sz w:val="24"/>
          <w:szCs w:val="24"/>
        </w:rPr>
        <w:t>1) по остаткам статей баланса открываются бухгалтерские счета, а на основании остатков бухгалтерских счетов составляется баланс;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на основании бухгалтерских счетов открываются статьи баланса;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на основании дебетовых и кредитовых оборотов бухгалтерских счетов составляется баланс;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бухгалтерские счета и статьи баланса отражают текущее изменение имущества.</w:t>
      </w:r>
    </w:p>
    <w:p w:rsidR="00556295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58093B" w:rsidRPr="009B6FBA" w:rsidRDefault="0058093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№5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28. Под прямыми расходами на производство продукции понимают: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расходы, связанные с изготовлением конкретных изделий;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расходы, возникшие в конкретном цехе;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все производственные расходы;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расходы, связанные с работой администрации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29. При начислении заработной платы рабочим, занятым обслуживанием машин и оборудования, составляется бухгалтерская запись: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70.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30. Какую хозяйственную операцию отражает бухгалтерская запись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69?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1) удержание 1% в пенсионный фонд из заработной платы рабочих основного производства;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удержание налога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9B6FBA">
        <w:rPr>
          <w:rFonts w:ascii="Times New Roman" w:hAnsi="Times New Roman" w:cs="Times New Roman"/>
          <w:sz w:val="24"/>
          <w:szCs w:val="24"/>
        </w:rPr>
        <w:t xml:space="preserve"> из заработной платы;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начисление страховых</w:t>
      </w:r>
      <w:r w:rsidRPr="009B6FBA">
        <w:rPr>
          <w:rFonts w:ascii="Times New Roman" w:hAnsi="Times New Roman" w:cs="Times New Roman"/>
          <w:sz w:val="24"/>
          <w:szCs w:val="24"/>
        </w:rPr>
        <w:t xml:space="preserve"> взносов;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перечисление органам социального страхования и обеспечения причитающейся им суммы отчислений.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31. Расходы на продажу – это расходы: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прямые;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косвенные;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основные;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накладные.</w:t>
      </w:r>
    </w:p>
    <w:p w:rsidR="00556295" w:rsidRPr="008969AD" w:rsidRDefault="00556295" w:rsidP="0055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32. Какую хозяйственную операцию отражает бухгалтерская запись </w:t>
      </w:r>
      <w:proofErr w:type="spellStart"/>
      <w:r w:rsidRPr="008969AD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8969AD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Pr="008969AD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8969AD">
        <w:rPr>
          <w:rFonts w:ascii="Times New Roman" w:hAnsi="Times New Roman" w:cs="Times New Roman"/>
          <w:sz w:val="24"/>
          <w:szCs w:val="24"/>
        </w:rPr>
        <w:t xml:space="preserve"> 90?</w:t>
      </w:r>
    </w:p>
    <w:p w:rsidR="00556295" w:rsidRPr="008969AD" w:rsidRDefault="00556295" w:rsidP="0055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1) выпуск продукции из производства;</w:t>
      </w:r>
    </w:p>
    <w:p w:rsidR="00556295" w:rsidRPr="008969AD" w:rsidRDefault="00556295" w:rsidP="0055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2) списание фактической себестоимости реализованной продукции;</w:t>
      </w:r>
    </w:p>
    <w:p w:rsidR="00556295" w:rsidRPr="008969AD" w:rsidRDefault="00556295" w:rsidP="0055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3) признание в учете выручки от продажи продукции;</w:t>
      </w:r>
    </w:p>
    <w:p w:rsidR="00556295" w:rsidRPr="008969AD" w:rsidRDefault="00556295" w:rsidP="0055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4) оплата продукции покупателями.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33. При списании фактической себестоимости проданной продукции составляется бухгалтерская запись?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43;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556295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58093B" w:rsidRPr="009B6FBA" w:rsidRDefault="0058093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№6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34. Регистры бухгалтерского учета по объему содержащейся в них информации подразделяются на: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синтетические и аналитические;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синтетические и хронологические;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хронологические и аналитические;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систематические и хронологические.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35. В основу строения журналов-ордеров положен признак: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произвольный;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дебетовый;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кредитовый;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смешанный.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36. Записи по синтетическим и аналитическим счетам в журналах-ордерах совмещаются способом: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шахматным;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линейным;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смешанным;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линейно-позиционным, шахматным, смешанным.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37. Какой способ исправления ошибки будет применен бухгалтером в следующем случае: отпущены материалы в производство на сумму 5500 руб. На счетах эта операция отражена следующей записью: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10 5000?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корректурным способом;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дополнительной проводкой;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способом «красное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>»;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4) обратной проводкой.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38. Главная книга открывается: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на месяц;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квартал;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полугодие;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год.</w:t>
      </w:r>
    </w:p>
    <w:p w:rsidR="00556295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58093B" w:rsidRDefault="0058093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№7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39. «Доходы и расходы, прибыли и убытки отражаются на счетах бухгалтерского учета в момент их возникновения» – это принцип: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начисления;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осмотрительности;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непрерывности;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4) неизменности. 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40. Какой из принципов бухгалтерского учета предполагает большую готовность к отражению в учете и финансовой отчетности возможных убытков или обязательств, чем прибыли или активов?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непрерывности;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осмотрительности;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приоритета содержания перед формой;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неизменности.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41. Учетная информация, предназначенная ее внешним пользователям, предоставляется: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финансовым учетом;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управленческим учетом;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обоими видами учета;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42. Какой из видов учета содержит конфиденциальную информацию?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финансовый учет;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управленческий учет;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информация любого вида учета должна быть доступной;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43. Какой из видов учета ведется в соответствии с желанием администрации?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финансовый учет;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управленческий учет;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ведение любого учета обязательно;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правильного ответа нет.</w:t>
      </w:r>
    </w:p>
    <w:p w:rsidR="00556295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58093B" w:rsidRPr="009B6FBA" w:rsidRDefault="0058093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Тест №8</w:t>
      </w:r>
      <w:r w:rsidR="0038235C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44. Закон о бухгалтерском учете относится к: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>1) федеральным стандартам;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отраслевым стандартам;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рекомендациям в области бухгалтерского учета;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стандартам экономического субъекта.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45. Приказ об учетной политике предприятия относится к: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федеральным стандартам;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отраслевым стандартам;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рекомендациям в области бухгалтерского учета;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стандартам экономического субъекта.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46. Учетная политика организации формируется: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главным бухгалтером;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Министерством финансов;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Центральным банком РФ;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руководителем организации.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47. «Выбранная предприятием учетная политика применяется последовательно от одного отчетного года к другому» – это допущение: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имущественной обособленности организации;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временной определенности фактов хозяйственной деятельности;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непрерывности деятельности организации;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последовательности применения учетной политики.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48.Налоговый кодекс относится к: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федеральным стандартам;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отраслевым стандартам;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3) рекомендациям в области бухгалтерского учета;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стандартам экономического субъекта.</w:t>
      </w: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F3" w:rsidRDefault="00D043F3" w:rsidP="00D04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90 до 100%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75 до 89%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46 до 74%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30 до 45%</w:t>
            </w:r>
          </w:p>
        </w:tc>
      </w:tr>
      <w:tr w:rsidR="000D10EF" w:rsidTr="000D10E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F" w:rsidRDefault="000D10EF">
            <w:r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29%</w:t>
            </w:r>
          </w:p>
        </w:tc>
      </w:tr>
    </w:tbl>
    <w:p w:rsidR="0058093B" w:rsidRPr="009B6FBA" w:rsidRDefault="0058093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9AC" w:rsidRPr="00810354" w:rsidRDefault="00A159AC" w:rsidP="0055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A0" w:rsidRDefault="007F4BA0" w:rsidP="00C8013F">
      <w:pPr>
        <w:spacing w:after="0" w:line="240" w:lineRule="auto"/>
      </w:pPr>
      <w:r>
        <w:separator/>
      </w:r>
    </w:p>
  </w:endnote>
  <w:endnote w:type="continuationSeparator" w:id="0">
    <w:p w:rsidR="007F4BA0" w:rsidRDefault="007F4BA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A0" w:rsidRDefault="007F4B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A0" w:rsidRDefault="007F4BA0" w:rsidP="00C8013F">
      <w:pPr>
        <w:spacing w:after="0" w:line="240" w:lineRule="auto"/>
      </w:pPr>
      <w:r>
        <w:separator/>
      </w:r>
    </w:p>
  </w:footnote>
  <w:footnote w:type="continuationSeparator" w:id="0">
    <w:p w:rsidR="007F4BA0" w:rsidRDefault="007F4BA0" w:rsidP="00C8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75B21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10EF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4C5A"/>
    <w:rsid w:val="001458E8"/>
    <w:rsid w:val="001519F7"/>
    <w:rsid w:val="00154975"/>
    <w:rsid w:val="00154F3A"/>
    <w:rsid w:val="001637E8"/>
    <w:rsid w:val="001700B4"/>
    <w:rsid w:val="00171707"/>
    <w:rsid w:val="00173379"/>
    <w:rsid w:val="00185EEC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051D9"/>
    <w:rsid w:val="00210431"/>
    <w:rsid w:val="002175E5"/>
    <w:rsid w:val="00231355"/>
    <w:rsid w:val="00236F7A"/>
    <w:rsid w:val="00240DF2"/>
    <w:rsid w:val="00255288"/>
    <w:rsid w:val="00257DFB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5664"/>
    <w:rsid w:val="002E26A3"/>
    <w:rsid w:val="002E2E88"/>
    <w:rsid w:val="002E361B"/>
    <w:rsid w:val="002F0C23"/>
    <w:rsid w:val="0031025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8235C"/>
    <w:rsid w:val="00387FF3"/>
    <w:rsid w:val="00391097"/>
    <w:rsid w:val="00396D48"/>
    <w:rsid w:val="003B40B3"/>
    <w:rsid w:val="003B4D4B"/>
    <w:rsid w:val="003B50D6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4008"/>
    <w:rsid w:val="005360F8"/>
    <w:rsid w:val="0053690D"/>
    <w:rsid w:val="00547663"/>
    <w:rsid w:val="00552F6D"/>
    <w:rsid w:val="00553120"/>
    <w:rsid w:val="00556295"/>
    <w:rsid w:val="00557C87"/>
    <w:rsid w:val="00562B69"/>
    <w:rsid w:val="00563347"/>
    <w:rsid w:val="00564F87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1E99"/>
    <w:rsid w:val="006560AD"/>
    <w:rsid w:val="006574B8"/>
    <w:rsid w:val="006638B9"/>
    <w:rsid w:val="00666A5A"/>
    <w:rsid w:val="006677C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0842"/>
    <w:rsid w:val="006B301A"/>
    <w:rsid w:val="006B4135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F71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4BA0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69AD"/>
    <w:rsid w:val="008A0906"/>
    <w:rsid w:val="008A1C89"/>
    <w:rsid w:val="008B7010"/>
    <w:rsid w:val="008C2A9A"/>
    <w:rsid w:val="008C4C7A"/>
    <w:rsid w:val="008C59DB"/>
    <w:rsid w:val="008C779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7671"/>
    <w:rsid w:val="00960790"/>
    <w:rsid w:val="00963375"/>
    <w:rsid w:val="009817DA"/>
    <w:rsid w:val="00981BEB"/>
    <w:rsid w:val="00983248"/>
    <w:rsid w:val="009916D5"/>
    <w:rsid w:val="009A5828"/>
    <w:rsid w:val="009B14A3"/>
    <w:rsid w:val="009B158D"/>
    <w:rsid w:val="009B6FBA"/>
    <w:rsid w:val="009C35EB"/>
    <w:rsid w:val="009C5C7B"/>
    <w:rsid w:val="009C7C97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58CA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15A9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3F3"/>
    <w:rsid w:val="00D06068"/>
    <w:rsid w:val="00D06866"/>
    <w:rsid w:val="00D104DF"/>
    <w:rsid w:val="00D14B40"/>
    <w:rsid w:val="00D27FC3"/>
    <w:rsid w:val="00D40654"/>
    <w:rsid w:val="00D4087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70CB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C792-82A4-4243-8F04-E38436BA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32</cp:revision>
  <cp:lastPrinted>2017-05-18T03:44:00Z</cp:lastPrinted>
  <dcterms:created xsi:type="dcterms:W3CDTF">2016-06-30T01:12:00Z</dcterms:created>
  <dcterms:modified xsi:type="dcterms:W3CDTF">2018-06-01T02:40:00Z</dcterms:modified>
</cp:coreProperties>
</file>